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hAnsi="宋体" w:eastAsia="宋体"/>
          <w:color w:val="FF0000"/>
        </w:rPr>
      </w:pPr>
    </w:p>
    <w:p>
      <w:pPr>
        <w:rPr>
          <w:rFonts w:ascii="宋体" w:hAnsi="宋体" w:eastAsia="宋体"/>
          <w:color w:val="FF0000"/>
        </w:rPr>
      </w:pPr>
    </w:p>
    <w:p>
      <w:pPr>
        <w:rPr>
          <w:rFonts w:ascii="宋体" w:hAnsi="宋体" w:eastAsia="宋体"/>
          <w:color w:val="FF0000"/>
        </w:rPr>
      </w:pPr>
    </w:p>
    <w:p>
      <w:pPr>
        <w:rPr>
          <w:rFonts w:ascii="宋体" w:hAnsi="宋体" w:eastAsia="宋体"/>
          <w:color w:val="FF0000"/>
        </w:rPr>
      </w:pPr>
    </w:p>
    <w:p>
      <w:pPr>
        <w:jc w:val="center"/>
        <w:rPr>
          <w:rFonts w:ascii="宋体" w:hAnsi="宋体" w:eastAsia="宋体"/>
          <w:b/>
          <w:sz w:val="72"/>
        </w:rPr>
      </w:pPr>
      <w:r>
        <w:rPr>
          <w:rFonts w:ascii="宋体" w:hAnsi="宋体" w:eastAsia="宋体"/>
          <w:b/>
          <w:sz w:val="72"/>
        </w:rPr>
        <w:t>建设项目环境影响报告表</w:t>
      </w:r>
    </w:p>
    <w:p>
      <w:pPr>
        <w:jc w:val="center"/>
        <w:outlineLvl w:val="0"/>
        <w:rPr>
          <w:rFonts w:ascii="宋体" w:hAnsi="宋体" w:eastAsia="宋体"/>
          <w:color w:val="FF0000"/>
          <w:sz w:val="36"/>
          <w:szCs w:val="36"/>
        </w:rPr>
      </w:pPr>
    </w:p>
    <w:p>
      <w:pPr>
        <w:jc w:val="center"/>
        <w:rPr>
          <w:rFonts w:ascii="宋体" w:hAnsi="宋体" w:eastAsia="宋体"/>
          <w:color w:val="FF0000"/>
          <w:sz w:val="36"/>
        </w:rPr>
      </w:pPr>
    </w:p>
    <w:p>
      <w:pPr>
        <w:jc w:val="center"/>
        <w:rPr>
          <w:rFonts w:ascii="宋体" w:hAnsi="宋体" w:eastAsia="宋体"/>
          <w:sz w:val="36"/>
        </w:rPr>
      </w:pPr>
    </w:p>
    <w:p>
      <w:pPr>
        <w:jc w:val="center"/>
        <w:rPr>
          <w:rFonts w:ascii="宋体" w:hAnsi="宋体" w:eastAsia="宋体"/>
          <w:sz w:val="36"/>
        </w:rPr>
      </w:pPr>
    </w:p>
    <w:p>
      <w:pPr>
        <w:jc w:val="center"/>
        <w:rPr>
          <w:rFonts w:ascii="宋体" w:hAnsi="宋体" w:eastAsia="宋体"/>
          <w:sz w:val="36"/>
        </w:rPr>
      </w:pPr>
    </w:p>
    <w:p>
      <w:pPr>
        <w:jc w:val="center"/>
        <w:rPr>
          <w:rFonts w:ascii="宋体" w:hAnsi="宋体" w:eastAsia="宋体"/>
          <w:sz w:val="36"/>
        </w:rPr>
      </w:pPr>
    </w:p>
    <w:p>
      <w:pPr>
        <w:jc w:val="center"/>
        <w:rPr>
          <w:rFonts w:ascii="宋体" w:hAnsi="宋体" w:eastAsia="宋体"/>
          <w:b/>
          <w:sz w:val="36"/>
          <w:szCs w:val="36"/>
        </w:rPr>
      </w:pPr>
    </w:p>
    <w:p>
      <w:pPr>
        <w:spacing w:line="288" w:lineRule="auto"/>
        <w:jc w:val="left"/>
        <w:rPr>
          <w:rFonts w:ascii="宋体" w:hAnsi="宋体" w:eastAsia="宋体"/>
          <w:b/>
          <w:w w:val="99"/>
          <w:sz w:val="32"/>
          <w:szCs w:val="32"/>
          <w:u w:val="single"/>
        </w:rPr>
      </w:pPr>
      <w:r>
        <w:rPr>
          <w:rFonts w:ascii="宋体" w:hAnsi="宋体" w:eastAsia="宋体"/>
          <w:b/>
          <w:w w:val="99"/>
          <w:sz w:val="32"/>
          <w:szCs w:val="32"/>
        </w:rPr>
        <w:t>项目名称</w:t>
      </w:r>
      <w:r>
        <w:rPr>
          <w:rFonts w:hint="eastAsia" w:ascii="宋体" w:hAnsi="宋体" w:eastAsia="宋体"/>
          <w:b/>
          <w:w w:val="99"/>
          <w:sz w:val="32"/>
          <w:szCs w:val="32"/>
        </w:rPr>
        <w:t>:</w:t>
      </w:r>
      <w:r>
        <w:rPr>
          <w:rFonts w:hint="eastAsia" w:ascii="宋体" w:hAnsi="宋体" w:eastAsia="宋体"/>
          <w:b/>
          <w:bCs/>
          <w:w w:val="99"/>
          <w:sz w:val="32"/>
          <w:u w:val="single"/>
        </w:rPr>
        <w:t xml:space="preserve"> </w:t>
      </w:r>
      <w:r>
        <w:rPr>
          <w:rFonts w:ascii="宋体" w:hAnsi="宋体" w:eastAsia="宋体"/>
          <w:b/>
          <w:bCs/>
          <w:w w:val="99"/>
          <w:sz w:val="32"/>
          <w:u w:val="single"/>
        </w:rPr>
        <w:t xml:space="preserve">   </w:t>
      </w:r>
      <w:r>
        <w:rPr>
          <w:rFonts w:hint="eastAsia" w:ascii="宋体" w:hAnsi="宋体" w:eastAsia="宋体"/>
          <w:b/>
          <w:bCs/>
          <w:w w:val="99"/>
          <w:sz w:val="32"/>
          <w:u w:val="single"/>
        </w:rPr>
        <w:t xml:space="preserve">年产650立方绝缘防爆型阻火模块项目           </w:t>
      </w:r>
    </w:p>
    <w:p>
      <w:pPr>
        <w:rPr>
          <w:rFonts w:ascii="宋体" w:hAnsi="宋体" w:eastAsia="宋体"/>
          <w:b/>
          <w:sz w:val="32"/>
          <w:szCs w:val="32"/>
        </w:rPr>
      </w:pPr>
    </w:p>
    <w:p>
      <w:pPr>
        <w:rPr>
          <w:rFonts w:ascii="宋体" w:hAnsi="宋体" w:eastAsia="宋体"/>
          <w:b/>
          <w:w w:val="90"/>
          <w:sz w:val="32"/>
          <w:szCs w:val="32"/>
          <w:u w:val="single"/>
        </w:rPr>
      </w:pPr>
      <w:r>
        <w:rPr>
          <w:rFonts w:ascii="宋体" w:hAnsi="宋体" w:eastAsia="宋体"/>
          <w:b/>
          <w:sz w:val="32"/>
          <w:szCs w:val="32"/>
        </w:rPr>
        <w:t>建设单位（</w:t>
      </w:r>
      <w:r>
        <w:rPr>
          <w:rFonts w:ascii="宋体" w:hAnsi="宋体" w:eastAsia="宋体"/>
          <w:b/>
          <w:bCs/>
          <w:sz w:val="32"/>
          <w:szCs w:val="32"/>
        </w:rPr>
        <w:t>盖章）：</w:t>
      </w:r>
      <w:r>
        <w:rPr>
          <w:rFonts w:hint="eastAsia" w:ascii="宋体" w:hAnsi="宋体" w:eastAsia="宋体"/>
          <w:b/>
          <w:bCs/>
          <w:w w:val="99"/>
          <w:sz w:val="32"/>
          <w:u w:val="single"/>
        </w:rPr>
        <w:t xml:space="preserve">辽宁恒久斯特消防科技有限公司              </w:t>
      </w:r>
    </w:p>
    <w:p>
      <w:pPr>
        <w:rPr>
          <w:rFonts w:ascii="宋体" w:hAnsi="宋体" w:eastAsia="宋体"/>
          <w:sz w:val="32"/>
          <w:szCs w:val="32"/>
        </w:rPr>
      </w:pPr>
    </w:p>
    <w:p>
      <w:pPr>
        <w:jc w:val="center"/>
        <w:rPr>
          <w:rFonts w:ascii="宋体" w:hAnsi="宋体" w:eastAsia="宋体"/>
          <w:sz w:val="32"/>
          <w:szCs w:val="32"/>
        </w:rPr>
      </w:pPr>
    </w:p>
    <w:p>
      <w:pPr>
        <w:jc w:val="center"/>
        <w:rPr>
          <w:rFonts w:ascii="宋体" w:hAnsi="宋体" w:eastAsia="宋体"/>
          <w:sz w:val="32"/>
          <w:szCs w:val="32"/>
        </w:rPr>
      </w:pPr>
    </w:p>
    <w:p>
      <w:pPr>
        <w:jc w:val="center"/>
        <w:rPr>
          <w:rFonts w:ascii="宋体" w:hAnsi="宋体" w:eastAsia="宋体"/>
          <w:color w:val="FF0000"/>
          <w:sz w:val="32"/>
          <w:szCs w:val="32"/>
        </w:rPr>
      </w:pPr>
    </w:p>
    <w:p>
      <w:pPr>
        <w:jc w:val="center"/>
        <w:rPr>
          <w:rFonts w:ascii="宋体" w:hAnsi="宋体" w:eastAsia="宋体"/>
          <w:color w:val="FF0000"/>
          <w:sz w:val="32"/>
          <w:szCs w:val="32"/>
        </w:rPr>
      </w:pPr>
    </w:p>
    <w:p>
      <w:pPr>
        <w:jc w:val="center"/>
        <w:rPr>
          <w:rFonts w:ascii="宋体" w:hAnsi="宋体" w:eastAsia="宋体"/>
          <w:sz w:val="32"/>
          <w:szCs w:val="32"/>
        </w:rPr>
      </w:pPr>
    </w:p>
    <w:p>
      <w:pPr>
        <w:jc w:val="center"/>
        <w:rPr>
          <w:rFonts w:ascii="宋体" w:hAnsi="宋体" w:eastAsia="宋体"/>
          <w:b/>
          <w:sz w:val="32"/>
          <w:szCs w:val="32"/>
        </w:rPr>
      </w:pPr>
    </w:p>
    <w:p>
      <w:pPr>
        <w:jc w:val="center"/>
        <w:rPr>
          <w:rFonts w:eastAsia="宋体"/>
          <w:b/>
          <w:sz w:val="32"/>
          <w:szCs w:val="32"/>
        </w:rPr>
      </w:pPr>
      <w:r>
        <w:rPr>
          <w:rFonts w:ascii="宋体" w:hAnsi="宋体" w:eastAsia="宋体"/>
          <w:b/>
          <w:sz w:val="32"/>
          <w:szCs w:val="32"/>
        </w:rPr>
        <w:t>编制日期：</w:t>
      </w:r>
      <w:r>
        <w:rPr>
          <w:rFonts w:eastAsia="宋体"/>
          <w:b/>
          <w:sz w:val="32"/>
          <w:szCs w:val="32"/>
        </w:rPr>
        <w:t>20</w:t>
      </w:r>
      <w:r>
        <w:rPr>
          <w:rFonts w:hint="eastAsia" w:eastAsia="宋体"/>
          <w:b/>
          <w:sz w:val="32"/>
          <w:szCs w:val="32"/>
        </w:rPr>
        <w:t>20</w:t>
      </w:r>
      <w:r>
        <w:rPr>
          <w:rFonts w:eastAsia="宋体"/>
          <w:b/>
          <w:sz w:val="32"/>
          <w:szCs w:val="32"/>
        </w:rPr>
        <w:t>年</w:t>
      </w:r>
      <w:r>
        <w:rPr>
          <w:rFonts w:hint="eastAsia" w:eastAsia="宋体"/>
          <w:b/>
          <w:sz w:val="32"/>
          <w:szCs w:val="32"/>
        </w:rPr>
        <w:t>6</w:t>
      </w:r>
      <w:r>
        <w:rPr>
          <w:rFonts w:eastAsia="宋体"/>
          <w:b/>
          <w:sz w:val="32"/>
          <w:szCs w:val="32"/>
        </w:rPr>
        <w:t>月</w:t>
      </w:r>
    </w:p>
    <w:p>
      <w:pPr>
        <w:jc w:val="center"/>
        <w:rPr>
          <w:rFonts w:ascii="宋体" w:hAnsi="宋体" w:eastAsia="宋体"/>
          <w:b/>
          <w:sz w:val="32"/>
          <w:szCs w:val="32"/>
        </w:rPr>
      </w:pPr>
    </w:p>
    <w:p>
      <w:pPr>
        <w:jc w:val="center"/>
        <w:rPr>
          <w:rFonts w:ascii="宋体" w:hAnsi="宋体" w:eastAsia="宋体"/>
          <w:b/>
          <w:sz w:val="32"/>
          <w:szCs w:val="32"/>
        </w:rPr>
      </w:pPr>
      <w:r>
        <w:rPr>
          <w:rFonts w:hint="eastAsia" w:ascii="宋体" w:hAnsi="宋体" w:eastAsia="宋体"/>
          <w:b/>
          <w:sz w:val="32"/>
          <w:szCs w:val="32"/>
        </w:rPr>
        <w:t>生态环境部</w:t>
      </w:r>
      <w:r>
        <w:rPr>
          <w:rFonts w:ascii="宋体" w:hAnsi="宋体" w:eastAsia="宋体"/>
          <w:b/>
          <w:sz w:val="32"/>
          <w:szCs w:val="32"/>
        </w:rPr>
        <w:t>制</w:t>
      </w:r>
    </w:p>
    <w:p>
      <w:pPr>
        <w:rPr>
          <w:rFonts w:ascii="宋体" w:hAnsi="宋体" w:eastAsia="宋体"/>
          <w:color w:val="FF0000"/>
        </w:rPr>
      </w:pPr>
    </w:p>
    <w:p>
      <w:pPr>
        <w:jc w:val="center"/>
        <w:rPr>
          <w:rFonts w:ascii="宋体" w:hAnsi="宋体" w:eastAsia="宋体"/>
          <w:b/>
          <w:sz w:val="30"/>
          <w:szCs w:val="30"/>
        </w:rPr>
      </w:pPr>
      <w:r>
        <w:rPr>
          <w:rFonts w:ascii="宋体" w:hAnsi="宋体" w:eastAsia="宋体"/>
          <w:b/>
          <w:sz w:val="30"/>
          <w:szCs w:val="30"/>
        </w:rPr>
        <w:t>《建设项目环境影响报告表》编制说明</w:t>
      </w:r>
    </w:p>
    <w:p>
      <w:pPr>
        <w:jc w:val="center"/>
        <w:rPr>
          <w:rFonts w:ascii="宋体" w:hAnsi="宋体" w:eastAsia="宋体"/>
          <w:b/>
          <w:sz w:val="30"/>
          <w:szCs w:val="30"/>
        </w:rPr>
      </w:pPr>
    </w:p>
    <w:p>
      <w:pPr>
        <w:rPr>
          <w:rFonts w:ascii="宋体" w:hAnsi="宋体" w:eastAsia="宋体"/>
          <w:b/>
          <w:szCs w:val="30"/>
        </w:rPr>
      </w:pPr>
    </w:p>
    <w:p>
      <w:pPr>
        <w:spacing w:line="360" w:lineRule="auto"/>
        <w:ind w:firstLine="480" w:firstLineChars="200"/>
        <w:rPr>
          <w:rFonts w:ascii="宋体" w:hAnsi="宋体" w:eastAsia="宋体"/>
          <w:bCs/>
          <w:sz w:val="24"/>
          <w:szCs w:val="24"/>
        </w:rPr>
      </w:pPr>
      <w:r>
        <w:rPr>
          <w:rFonts w:ascii="宋体" w:hAnsi="宋体" w:eastAsia="宋体"/>
          <w:bCs/>
          <w:sz w:val="24"/>
          <w:szCs w:val="24"/>
        </w:rPr>
        <w:t>《建设项目环境影响报告表》由具有从事环境影响评价工作资质的单位编制。</w:t>
      </w:r>
    </w:p>
    <w:p>
      <w:pPr>
        <w:tabs>
          <w:tab w:val="left" w:pos="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1.项目名称---指项目立项批复时的名称，应不超过30个字（两个英文字段作一个汉字）。</w:t>
      </w:r>
    </w:p>
    <w:p>
      <w:pPr>
        <w:tabs>
          <w:tab w:val="left" w:pos="63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2.建设地点---指项目所在地详细地址，公路、铁路应填写起止地点。</w:t>
      </w:r>
    </w:p>
    <w:p>
      <w:pPr>
        <w:tabs>
          <w:tab w:val="left" w:pos="63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3.行业类别---按国标填写。</w:t>
      </w:r>
    </w:p>
    <w:p>
      <w:pPr>
        <w:tabs>
          <w:tab w:val="left" w:pos="63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4.总投资---指项目投资总额。</w:t>
      </w:r>
    </w:p>
    <w:p>
      <w:pPr>
        <w:tabs>
          <w:tab w:val="left" w:pos="63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5.主要环境保护目标---指项目区周围一定范围内居民住宅区、学校、医院、保护文物、风景名胜区、水源地和生态敏感点，应尽可能给出保护目标、性质、规模和距厂界距离等。</w:t>
      </w:r>
    </w:p>
    <w:p>
      <w:pPr>
        <w:tabs>
          <w:tab w:val="left" w:pos="63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6.结论与建议---给出本项目清洁生产、达标排放和总量控制的分析结论，确定污染防治措施的有效性，说明本项目对环境造成的影响，给出建设项目环境可行性的明确结论。同时提出减少环境影响的其他建议。</w:t>
      </w:r>
    </w:p>
    <w:p>
      <w:pPr>
        <w:tabs>
          <w:tab w:val="left" w:pos="63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7.预审意见---由行业主管填写答复意见，无主管部门项目，可不填。</w:t>
      </w:r>
    </w:p>
    <w:p>
      <w:pPr>
        <w:tabs>
          <w:tab w:val="left" w:pos="630"/>
        </w:tabs>
        <w:spacing w:line="360" w:lineRule="auto"/>
        <w:rPr>
          <w:rFonts w:ascii="宋体" w:hAnsi="宋体" w:eastAsia="宋体" w:cs="宋体"/>
          <w:bCs/>
          <w:sz w:val="24"/>
          <w:szCs w:val="24"/>
        </w:rPr>
      </w:pPr>
      <w:r>
        <w:rPr>
          <w:rFonts w:hint="eastAsia" w:ascii="宋体" w:hAnsi="宋体" w:eastAsia="宋体" w:cs="宋体"/>
          <w:bCs/>
          <w:sz w:val="24"/>
          <w:szCs w:val="24"/>
        </w:rPr>
        <w:t xml:space="preserve">    8.审批意见---由负责审批该项目的环境保护行政主管部门批复。</w:t>
      </w:r>
    </w:p>
    <w:p>
      <w:pPr>
        <w:rPr>
          <w:rFonts w:ascii="宋体" w:hAnsi="宋体" w:eastAsia="宋体"/>
        </w:rPr>
        <w:sectPr>
          <w:headerReference r:id="rId3" w:type="default"/>
          <w:footerReference r:id="rId4" w:type="even"/>
          <w:pgSz w:w="11906" w:h="16838"/>
          <w:pgMar w:top="1701" w:right="1701" w:bottom="1701" w:left="1701" w:header="851" w:footer="992" w:gutter="0"/>
          <w:cols w:space="720" w:num="1"/>
          <w:docGrid w:type="lines" w:linePitch="480" w:charSpace="0"/>
        </w:sectPr>
      </w:pPr>
    </w:p>
    <w:p>
      <w:pPr>
        <w:rPr>
          <w:rFonts w:ascii="宋体" w:hAnsi="宋体" w:eastAsia="宋体"/>
          <w:b/>
          <w:sz w:val="24"/>
          <w:szCs w:val="24"/>
        </w:rPr>
      </w:pPr>
      <w:r>
        <w:rPr>
          <w:rFonts w:ascii="宋体" w:hAnsi="宋体" w:eastAsia="宋体"/>
          <w:b/>
          <w:sz w:val="24"/>
          <w:szCs w:val="24"/>
        </w:rPr>
        <w:t>建设项目基本情况</w:t>
      </w:r>
    </w:p>
    <w:tbl>
      <w:tblPr>
        <w:tblStyle w:val="2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320"/>
        <w:gridCol w:w="314"/>
        <w:gridCol w:w="1134"/>
        <w:gridCol w:w="97"/>
        <w:gridCol w:w="1462"/>
        <w:gridCol w:w="254"/>
        <w:gridCol w:w="1022"/>
        <w:gridCol w:w="442"/>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593" w:type="dxa"/>
            <w:vAlign w:val="center"/>
          </w:tcPr>
          <w:p>
            <w:pPr>
              <w:pStyle w:val="40"/>
              <w:widowControl w:val="0"/>
              <w:snapToGrid w:val="0"/>
              <w:spacing w:before="0" w:after="0"/>
              <w:rPr>
                <w:rFonts w:ascii="宋体" w:hAnsi="宋体" w:eastAsia="宋体"/>
                <w:kern w:val="2"/>
                <w:szCs w:val="24"/>
              </w:rPr>
            </w:pPr>
            <w:r>
              <w:rPr>
                <w:rFonts w:ascii="宋体" w:hAnsi="宋体" w:eastAsia="宋体"/>
                <w:kern w:val="2"/>
                <w:szCs w:val="24"/>
              </w:rPr>
              <w:t>项目名称</w:t>
            </w:r>
          </w:p>
        </w:tc>
        <w:tc>
          <w:tcPr>
            <w:tcW w:w="7446" w:type="dxa"/>
            <w:gridSpan w:val="9"/>
          </w:tcPr>
          <w:p>
            <w:pPr>
              <w:pStyle w:val="40"/>
              <w:widowControl w:val="0"/>
              <w:snapToGrid w:val="0"/>
              <w:spacing w:before="0" w:after="0"/>
              <w:rPr>
                <w:rFonts w:ascii="宋体" w:hAnsi="宋体" w:eastAsia="宋体"/>
                <w:kern w:val="2"/>
                <w:szCs w:val="24"/>
              </w:rPr>
            </w:pPr>
            <w:r>
              <w:rPr>
                <w:rFonts w:hint="eastAsia" w:ascii="宋体" w:hAnsi="宋体" w:eastAsia="宋体"/>
                <w:kern w:val="2"/>
                <w:szCs w:val="24"/>
              </w:rPr>
              <w:t xml:space="preserve">年产650立方绝缘防爆型阻火模块项目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593" w:type="dxa"/>
            <w:vAlign w:val="center"/>
          </w:tcPr>
          <w:p>
            <w:pPr>
              <w:pStyle w:val="40"/>
              <w:widowControl w:val="0"/>
              <w:snapToGrid w:val="0"/>
              <w:spacing w:before="0" w:after="0"/>
              <w:rPr>
                <w:rFonts w:ascii="宋体" w:hAnsi="宋体" w:eastAsia="宋体"/>
                <w:kern w:val="2"/>
                <w:szCs w:val="24"/>
              </w:rPr>
            </w:pPr>
            <w:r>
              <w:rPr>
                <w:rFonts w:ascii="宋体" w:hAnsi="宋体" w:eastAsia="宋体"/>
                <w:kern w:val="2"/>
                <w:szCs w:val="24"/>
              </w:rPr>
              <w:t>建设单位</w:t>
            </w:r>
          </w:p>
        </w:tc>
        <w:tc>
          <w:tcPr>
            <w:tcW w:w="7446" w:type="dxa"/>
            <w:gridSpan w:val="9"/>
          </w:tcPr>
          <w:p>
            <w:pPr>
              <w:pStyle w:val="40"/>
              <w:widowControl w:val="0"/>
              <w:snapToGrid w:val="0"/>
              <w:spacing w:before="0" w:after="0"/>
              <w:rPr>
                <w:rFonts w:ascii="宋体" w:hAnsi="宋体" w:eastAsia="宋体"/>
                <w:kern w:val="2"/>
                <w:szCs w:val="24"/>
              </w:rPr>
            </w:pPr>
            <w:r>
              <w:rPr>
                <w:rFonts w:hint="eastAsia" w:ascii="宋体" w:hAnsi="宋体" w:eastAsia="宋体"/>
                <w:kern w:val="2"/>
                <w:szCs w:val="24"/>
              </w:rPr>
              <w:t>辽宁恒久斯特消防科技有限公司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1593" w:type="dxa"/>
            <w:vAlign w:val="center"/>
          </w:tcPr>
          <w:p>
            <w:pPr>
              <w:pStyle w:val="40"/>
              <w:widowControl w:val="0"/>
              <w:snapToGrid w:val="0"/>
              <w:spacing w:before="0" w:after="0"/>
              <w:rPr>
                <w:rFonts w:ascii="宋体" w:hAnsi="宋体" w:eastAsia="宋体"/>
                <w:kern w:val="2"/>
                <w:szCs w:val="24"/>
              </w:rPr>
            </w:pPr>
            <w:r>
              <w:rPr>
                <w:rFonts w:ascii="宋体" w:hAnsi="宋体" w:eastAsia="宋体"/>
                <w:kern w:val="2"/>
                <w:szCs w:val="24"/>
              </w:rPr>
              <w:t>法人代表</w:t>
            </w:r>
          </w:p>
        </w:tc>
        <w:tc>
          <w:tcPr>
            <w:tcW w:w="2865" w:type="dxa"/>
            <w:gridSpan w:val="4"/>
            <w:vAlign w:val="center"/>
          </w:tcPr>
          <w:p>
            <w:pPr>
              <w:pStyle w:val="40"/>
              <w:widowControl w:val="0"/>
              <w:snapToGrid w:val="0"/>
              <w:spacing w:before="0" w:after="0"/>
              <w:rPr>
                <w:rFonts w:ascii="宋体" w:hAnsi="宋体" w:eastAsia="宋体"/>
                <w:color w:val="FF0000"/>
                <w:kern w:val="2"/>
                <w:szCs w:val="24"/>
              </w:rPr>
            </w:pPr>
            <w:r>
              <w:rPr>
                <w:rFonts w:hint="eastAsia" w:ascii="宋体" w:hAnsi="宋体" w:eastAsia="宋体"/>
                <w:kern w:val="2"/>
                <w:szCs w:val="24"/>
              </w:rPr>
              <w:t>王海民</w:t>
            </w:r>
          </w:p>
        </w:tc>
        <w:tc>
          <w:tcPr>
            <w:tcW w:w="1716" w:type="dxa"/>
            <w:gridSpan w:val="2"/>
            <w:vAlign w:val="center"/>
          </w:tcPr>
          <w:p>
            <w:pPr>
              <w:pStyle w:val="40"/>
              <w:widowControl w:val="0"/>
              <w:snapToGrid w:val="0"/>
              <w:spacing w:before="0" w:after="0"/>
              <w:rPr>
                <w:rFonts w:ascii="宋体" w:hAnsi="宋体" w:eastAsia="宋体"/>
                <w:color w:val="FF0000"/>
                <w:kern w:val="2"/>
                <w:szCs w:val="24"/>
              </w:rPr>
            </w:pPr>
            <w:r>
              <w:rPr>
                <w:rFonts w:ascii="宋体" w:hAnsi="宋体" w:eastAsia="宋体"/>
                <w:kern w:val="2"/>
                <w:szCs w:val="24"/>
              </w:rPr>
              <w:t>联系人</w:t>
            </w:r>
          </w:p>
        </w:tc>
        <w:tc>
          <w:tcPr>
            <w:tcW w:w="2865" w:type="dxa"/>
            <w:gridSpan w:val="3"/>
            <w:vAlign w:val="center"/>
          </w:tcPr>
          <w:p>
            <w:pPr>
              <w:pStyle w:val="40"/>
              <w:widowControl w:val="0"/>
              <w:snapToGrid w:val="0"/>
              <w:spacing w:before="0" w:after="0"/>
              <w:rPr>
                <w:rFonts w:ascii="宋体" w:hAnsi="宋体" w:eastAsia="宋体"/>
                <w:color w:val="FF0000"/>
                <w:kern w:val="2"/>
                <w:szCs w:val="24"/>
              </w:rPr>
            </w:pPr>
            <w:r>
              <w:rPr>
                <w:rFonts w:hint="eastAsia" w:ascii="宋体" w:hAnsi="宋体" w:eastAsia="宋体"/>
                <w:kern w:val="2"/>
                <w:szCs w:val="24"/>
              </w:rPr>
              <w:t>张猛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1593" w:type="dxa"/>
            <w:vAlign w:val="center"/>
          </w:tcPr>
          <w:p>
            <w:pPr>
              <w:pStyle w:val="40"/>
              <w:widowControl w:val="0"/>
              <w:snapToGrid w:val="0"/>
              <w:spacing w:before="0" w:after="0"/>
              <w:rPr>
                <w:rFonts w:ascii="宋体" w:hAnsi="宋体" w:eastAsia="宋体"/>
                <w:kern w:val="2"/>
                <w:szCs w:val="24"/>
              </w:rPr>
            </w:pPr>
            <w:r>
              <w:rPr>
                <w:rFonts w:ascii="宋体" w:hAnsi="宋体" w:eastAsia="宋体"/>
                <w:kern w:val="2"/>
                <w:szCs w:val="24"/>
              </w:rPr>
              <w:t>通讯地址</w:t>
            </w:r>
          </w:p>
        </w:tc>
        <w:tc>
          <w:tcPr>
            <w:tcW w:w="7446" w:type="dxa"/>
            <w:gridSpan w:val="9"/>
            <w:vAlign w:val="center"/>
          </w:tcPr>
          <w:p>
            <w:pPr>
              <w:pStyle w:val="40"/>
              <w:widowControl w:val="0"/>
              <w:snapToGrid w:val="0"/>
              <w:spacing w:before="0" w:after="0"/>
              <w:rPr>
                <w:rFonts w:ascii="宋体" w:hAnsi="宋体" w:eastAsia="宋体"/>
                <w:color w:val="FF0000"/>
                <w:kern w:val="2"/>
                <w:szCs w:val="24"/>
              </w:rPr>
            </w:pPr>
            <w:r>
              <w:rPr>
                <w:rFonts w:hint="eastAsia" w:ascii="Times New Roman" w:hAnsi="Times New Roman" w:eastAsia="宋体"/>
                <w:kern w:val="2"/>
                <w:szCs w:val="24"/>
              </w:rPr>
              <w:t>锦州市松山新区渤海大街46号2号楼4楼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593" w:type="dxa"/>
            <w:vAlign w:val="center"/>
          </w:tcPr>
          <w:p>
            <w:pPr>
              <w:pStyle w:val="40"/>
              <w:widowControl w:val="0"/>
              <w:snapToGrid w:val="0"/>
              <w:spacing w:before="0" w:after="0"/>
              <w:rPr>
                <w:rFonts w:ascii="宋体" w:hAnsi="宋体" w:eastAsia="宋体"/>
                <w:kern w:val="2"/>
                <w:szCs w:val="24"/>
              </w:rPr>
            </w:pPr>
            <w:r>
              <w:rPr>
                <w:rFonts w:ascii="宋体" w:hAnsi="宋体" w:eastAsia="宋体"/>
                <w:kern w:val="2"/>
                <w:szCs w:val="24"/>
              </w:rPr>
              <w:t>联系电话</w:t>
            </w:r>
          </w:p>
        </w:tc>
        <w:tc>
          <w:tcPr>
            <w:tcW w:w="1634" w:type="dxa"/>
            <w:gridSpan w:val="2"/>
            <w:vAlign w:val="center"/>
          </w:tcPr>
          <w:p>
            <w:pPr>
              <w:pStyle w:val="40"/>
              <w:widowControl w:val="0"/>
              <w:snapToGrid w:val="0"/>
              <w:spacing w:before="0" w:after="0"/>
              <w:rPr>
                <w:rFonts w:ascii="Times New Roman" w:hAnsi="Times New Roman" w:eastAsia="宋体"/>
                <w:kern w:val="2"/>
                <w:szCs w:val="24"/>
              </w:rPr>
            </w:pPr>
            <w:r>
              <w:rPr>
                <w:rFonts w:ascii="Times New Roman" w:hAnsi="Times New Roman" w:eastAsia="宋体"/>
                <w:kern w:val="2"/>
                <w:szCs w:val="24"/>
              </w:rPr>
              <w:t>15964566547</w:t>
            </w:r>
          </w:p>
        </w:tc>
        <w:tc>
          <w:tcPr>
            <w:tcW w:w="1134" w:type="dxa"/>
            <w:vAlign w:val="center"/>
          </w:tcPr>
          <w:p>
            <w:pPr>
              <w:pStyle w:val="40"/>
              <w:widowControl w:val="0"/>
              <w:snapToGrid w:val="0"/>
              <w:spacing w:before="0" w:after="0"/>
              <w:rPr>
                <w:rFonts w:ascii="Times New Roman" w:hAnsi="Times New Roman" w:eastAsia="宋体"/>
                <w:kern w:val="2"/>
                <w:szCs w:val="24"/>
              </w:rPr>
            </w:pPr>
            <w:r>
              <w:rPr>
                <w:rFonts w:ascii="Times New Roman" w:hAnsi="Times New Roman" w:eastAsia="宋体"/>
                <w:kern w:val="2"/>
                <w:szCs w:val="24"/>
              </w:rPr>
              <w:t>传真</w:t>
            </w:r>
          </w:p>
        </w:tc>
        <w:tc>
          <w:tcPr>
            <w:tcW w:w="1559" w:type="dxa"/>
            <w:gridSpan w:val="2"/>
            <w:vAlign w:val="center"/>
          </w:tcPr>
          <w:p>
            <w:pPr>
              <w:pStyle w:val="40"/>
              <w:widowControl w:val="0"/>
              <w:snapToGrid w:val="0"/>
              <w:spacing w:before="0" w:after="0"/>
              <w:rPr>
                <w:rFonts w:ascii="Times New Roman" w:hAnsi="Times New Roman" w:eastAsia="宋体"/>
                <w:kern w:val="2"/>
                <w:szCs w:val="24"/>
              </w:rPr>
            </w:pPr>
            <w:r>
              <w:rPr>
                <w:rFonts w:ascii="Times New Roman" w:hAnsi="Times New Roman" w:eastAsia="宋体"/>
                <w:kern w:val="2"/>
                <w:szCs w:val="24"/>
              </w:rPr>
              <w:t>-</w:t>
            </w:r>
          </w:p>
        </w:tc>
        <w:tc>
          <w:tcPr>
            <w:tcW w:w="1276" w:type="dxa"/>
            <w:gridSpan w:val="2"/>
            <w:vAlign w:val="center"/>
          </w:tcPr>
          <w:p>
            <w:pPr>
              <w:pStyle w:val="40"/>
              <w:widowControl w:val="0"/>
              <w:snapToGrid w:val="0"/>
              <w:spacing w:before="0" w:after="0"/>
              <w:rPr>
                <w:rFonts w:ascii="Times New Roman" w:hAnsi="Times New Roman" w:eastAsia="宋体"/>
                <w:kern w:val="2"/>
                <w:szCs w:val="24"/>
              </w:rPr>
            </w:pPr>
            <w:r>
              <w:rPr>
                <w:rFonts w:ascii="Times New Roman" w:hAnsi="Times New Roman" w:eastAsia="宋体"/>
                <w:kern w:val="2"/>
                <w:szCs w:val="24"/>
              </w:rPr>
              <w:t>邮政编码</w:t>
            </w:r>
          </w:p>
        </w:tc>
        <w:tc>
          <w:tcPr>
            <w:tcW w:w="1843" w:type="dxa"/>
            <w:gridSpan w:val="2"/>
            <w:vAlign w:val="center"/>
          </w:tcPr>
          <w:p>
            <w:pPr>
              <w:pStyle w:val="40"/>
              <w:widowControl w:val="0"/>
              <w:snapToGrid w:val="0"/>
              <w:spacing w:before="0" w:after="0"/>
              <w:rPr>
                <w:rFonts w:ascii="Times New Roman" w:hAnsi="Times New Roman" w:eastAsia="宋体"/>
                <w:kern w:val="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593" w:type="dxa"/>
            <w:vAlign w:val="center"/>
          </w:tcPr>
          <w:p>
            <w:pPr>
              <w:pStyle w:val="40"/>
              <w:widowControl w:val="0"/>
              <w:snapToGrid w:val="0"/>
              <w:spacing w:before="0" w:after="0"/>
              <w:rPr>
                <w:rFonts w:ascii="宋体" w:hAnsi="宋体" w:eastAsia="宋体"/>
                <w:kern w:val="2"/>
                <w:szCs w:val="24"/>
              </w:rPr>
            </w:pPr>
            <w:r>
              <w:rPr>
                <w:rFonts w:ascii="宋体" w:hAnsi="宋体" w:eastAsia="宋体"/>
                <w:kern w:val="2"/>
                <w:szCs w:val="24"/>
              </w:rPr>
              <w:t>建设地点</w:t>
            </w:r>
          </w:p>
        </w:tc>
        <w:tc>
          <w:tcPr>
            <w:tcW w:w="7446" w:type="dxa"/>
            <w:gridSpan w:val="9"/>
            <w:vAlign w:val="center"/>
          </w:tcPr>
          <w:p>
            <w:pPr>
              <w:pStyle w:val="40"/>
              <w:widowControl w:val="0"/>
              <w:snapToGrid w:val="0"/>
              <w:spacing w:before="0" w:after="0"/>
              <w:rPr>
                <w:rFonts w:ascii="Times New Roman" w:hAnsi="Times New Roman" w:eastAsia="宋体"/>
                <w:color w:val="FF0000"/>
                <w:kern w:val="2"/>
                <w:szCs w:val="24"/>
              </w:rPr>
            </w:pPr>
            <w:r>
              <w:rPr>
                <w:rFonts w:hint="eastAsia" w:ascii="Times New Roman" w:hAnsi="Times New Roman" w:eastAsia="宋体"/>
                <w:kern w:val="2"/>
                <w:szCs w:val="24"/>
              </w:rPr>
              <w:t>锦州松山新区松山街道北三道壕子村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593" w:type="dxa"/>
            <w:vAlign w:val="center"/>
          </w:tcPr>
          <w:p>
            <w:pPr>
              <w:snapToGrid w:val="0"/>
              <w:jc w:val="center"/>
              <w:rPr>
                <w:rFonts w:ascii="宋体" w:hAnsi="宋体" w:eastAsia="宋体"/>
                <w:sz w:val="24"/>
              </w:rPr>
            </w:pPr>
            <w:r>
              <w:rPr>
                <w:rFonts w:ascii="宋体" w:hAnsi="宋体" w:eastAsia="宋体"/>
                <w:sz w:val="24"/>
              </w:rPr>
              <w:t>立项审批</w:t>
            </w:r>
          </w:p>
          <w:p>
            <w:pPr>
              <w:snapToGrid w:val="0"/>
              <w:jc w:val="center"/>
              <w:rPr>
                <w:rFonts w:ascii="宋体" w:hAnsi="宋体" w:eastAsia="宋体"/>
                <w:sz w:val="24"/>
              </w:rPr>
            </w:pPr>
            <w:r>
              <w:rPr>
                <w:rFonts w:ascii="宋体" w:hAnsi="宋体" w:eastAsia="宋体"/>
                <w:sz w:val="24"/>
              </w:rPr>
              <w:t>部门</w:t>
            </w:r>
          </w:p>
        </w:tc>
        <w:tc>
          <w:tcPr>
            <w:tcW w:w="2865" w:type="dxa"/>
            <w:gridSpan w:val="4"/>
            <w:vAlign w:val="center"/>
          </w:tcPr>
          <w:p>
            <w:pPr>
              <w:snapToGrid w:val="0"/>
              <w:jc w:val="center"/>
              <w:rPr>
                <w:rFonts w:eastAsia="宋体"/>
                <w:sz w:val="24"/>
              </w:rPr>
            </w:pPr>
            <w:r>
              <w:rPr>
                <w:rFonts w:hint="eastAsia" w:eastAsia="宋体"/>
                <w:sz w:val="24"/>
              </w:rPr>
              <w:t>-</w:t>
            </w:r>
          </w:p>
        </w:tc>
        <w:tc>
          <w:tcPr>
            <w:tcW w:w="1716" w:type="dxa"/>
            <w:gridSpan w:val="2"/>
            <w:vAlign w:val="center"/>
          </w:tcPr>
          <w:p>
            <w:pPr>
              <w:snapToGrid w:val="0"/>
              <w:jc w:val="center"/>
              <w:rPr>
                <w:rFonts w:eastAsia="宋体"/>
                <w:sz w:val="24"/>
              </w:rPr>
            </w:pPr>
            <w:r>
              <w:rPr>
                <w:rFonts w:eastAsia="宋体"/>
                <w:sz w:val="24"/>
              </w:rPr>
              <w:t>批准文号</w:t>
            </w:r>
          </w:p>
        </w:tc>
        <w:tc>
          <w:tcPr>
            <w:tcW w:w="2865" w:type="dxa"/>
            <w:gridSpan w:val="3"/>
            <w:vAlign w:val="center"/>
          </w:tcPr>
          <w:p>
            <w:pPr>
              <w:snapToGrid w:val="0"/>
              <w:jc w:val="center"/>
              <w:rPr>
                <w:rFonts w:eastAsia="宋体"/>
                <w:sz w:val="24"/>
              </w:rPr>
            </w:pPr>
            <w:r>
              <w:rPr>
                <w:rFonts w:hint="eastAsia" w:eastAsia="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593" w:type="dxa"/>
            <w:vAlign w:val="center"/>
          </w:tcPr>
          <w:p>
            <w:pPr>
              <w:snapToGrid w:val="0"/>
              <w:jc w:val="center"/>
              <w:rPr>
                <w:rFonts w:ascii="宋体" w:hAnsi="宋体" w:eastAsia="宋体"/>
                <w:sz w:val="24"/>
              </w:rPr>
            </w:pPr>
            <w:r>
              <w:rPr>
                <w:rFonts w:ascii="宋体" w:hAnsi="宋体" w:eastAsia="宋体"/>
                <w:sz w:val="24"/>
              </w:rPr>
              <w:t>建设性质</w:t>
            </w:r>
          </w:p>
        </w:tc>
        <w:tc>
          <w:tcPr>
            <w:tcW w:w="2865" w:type="dxa"/>
            <w:gridSpan w:val="4"/>
            <w:vAlign w:val="center"/>
          </w:tcPr>
          <w:p>
            <w:pPr>
              <w:snapToGrid w:val="0"/>
              <w:jc w:val="center"/>
              <w:rPr>
                <w:rFonts w:eastAsia="宋体"/>
                <w:sz w:val="24"/>
              </w:rPr>
            </w:pPr>
            <w:r>
              <w:rPr>
                <w:rFonts w:eastAsia="宋体"/>
                <w:sz w:val="24"/>
              </w:rPr>
              <w:t>新建</w:t>
            </w:r>
            <w:bookmarkStart w:id="13" w:name="_GoBack"/>
            <w:bookmarkEnd w:id="13"/>
            <w:r>
              <w:rPr>
                <w:rFonts w:eastAsia="宋体"/>
                <w:sz w:val="24"/>
              </w:rPr>
              <w:sym w:font="Wingdings" w:char="00A8"/>
            </w:r>
            <w:r>
              <w:rPr>
                <w:rFonts w:hint="eastAsia" w:eastAsia="宋体"/>
                <w:sz w:val="24"/>
              </w:rPr>
              <w:t xml:space="preserve"> </w:t>
            </w:r>
            <w:r>
              <w:rPr>
                <w:rFonts w:eastAsia="宋体"/>
                <w:sz w:val="24"/>
              </w:rPr>
              <w:t>改扩建</w:t>
            </w:r>
            <w:r>
              <w:rPr>
                <w:rFonts w:eastAsia="宋体"/>
                <w:sz w:val="24"/>
              </w:rPr>
              <w:sym w:font="Wingdings" w:char="00A8"/>
            </w:r>
            <w:r>
              <w:rPr>
                <w:rFonts w:eastAsia="宋体"/>
                <w:sz w:val="24"/>
              </w:rPr>
              <w:t>技改</w:t>
            </w:r>
            <w:r>
              <w:rPr>
                <w:rFonts w:eastAsia="宋体"/>
                <w:sz w:val="24"/>
              </w:rPr>
              <w:sym w:font="Wingdings" w:char="00A8"/>
            </w:r>
          </w:p>
        </w:tc>
        <w:tc>
          <w:tcPr>
            <w:tcW w:w="1716" w:type="dxa"/>
            <w:gridSpan w:val="2"/>
            <w:vAlign w:val="center"/>
          </w:tcPr>
          <w:p>
            <w:pPr>
              <w:pStyle w:val="36"/>
              <w:adjustRightInd/>
              <w:spacing w:line="240" w:lineRule="auto"/>
              <w:ind w:firstLine="0" w:firstLineChars="0"/>
              <w:jc w:val="center"/>
            </w:pPr>
            <w:r>
              <w:t>行业类别</w:t>
            </w:r>
          </w:p>
          <w:p>
            <w:pPr>
              <w:pStyle w:val="36"/>
              <w:adjustRightInd/>
              <w:spacing w:line="240" w:lineRule="auto"/>
              <w:ind w:firstLine="0" w:firstLineChars="0"/>
              <w:jc w:val="center"/>
            </w:pPr>
            <w:r>
              <w:t>及代码</w:t>
            </w:r>
          </w:p>
        </w:tc>
        <w:tc>
          <w:tcPr>
            <w:tcW w:w="2865" w:type="dxa"/>
            <w:gridSpan w:val="3"/>
            <w:vAlign w:val="center"/>
          </w:tcPr>
          <w:p>
            <w:pPr>
              <w:pStyle w:val="36"/>
              <w:adjustRightInd/>
              <w:spacing w:line="240" w:lineRule="auto"/>
              <w:ind w:firstLine="0" w:firstLineChars="0"/>
              <w:jc w:val="center"/>
            </w:pPr>
            <w:r>
              <w:rPr>
                <w:rFonts w:hint="eastAsia"/>
              </w:rPr>
              <w:t>C3089耐火陶瓷制品及其他耐火材料制造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593" w:type="dxa"/>
            <w:vAlign w:val="center"/>
          </w:tcPr>
          <w:p>
            <w:pPr>
              <w:snapToGrid w:val="0"/>
              <w:jc w:val="center"/>
              <w:rPr>
                <w:rFonts w:ascii="宋体" w:hAnsi="宋体" w:eastAsia="宋体"/>
                <w:sz w:val="24"/>
              </w:rPr>
            </w:pPr>
            <w:r>
              <w:rPr>
                <w:rFonts w:ascii="宋体" w:hAnsi="宋体" w:eastAsia="宋体"/>
                <w:sz w:val="24"/>
              </w:rPr>
              <w:t>占地面积</w:t>
            </w:r>
          </w:p>
          <w:p>
            <w:pPr>
              <w:snapToGrid w:val="0"/>
              <w:jc w:val="center"/>
              <w:rPr>
                <w:rFonts w:ascii="宋体" w:hAnsi="宋体" w:eastAsia="宋体"/>
                <w:sz w:val="24"/>
              </w:rPr>
            </w:pPr>
            <w:r>
              <w:rPr>
                <w:rFonts w:ascii="宋体" w:hAnsi="宋体" w:eastAsia="宋体"/>
                <w:sz w:val="24"/>
              </w:rPr>
              <w:t>（平方米）</w:t>
            </w:r>
          </w:p>
        </w:tc>
        <w:tc>
          <w:tcPr>
            <w:tcW w:w="2865" w:type="dxa"/>
            <w:gridSpan w:val="4"/>
            <w:vAlign w:val="center"/>
          </w:tcPr>
          <w:p>
            <w:pPr>
              <w:snapToGrid w:val="0"/>
              <w:jc w:val="center"/>
              <w:rPr>
                <w:rFonts w:eastAsia="宋体"/>
                <w:sz w:val="24"/>
                <w:szCs w:val="24"/>
              </w:rPr>
            </w:pPr>
            <w:r>
              <w:rPr>
                <w:rFonts w:hint="eastAsia" w:eastAsia="宋体"/>
                <w:sz w:val="24"/>
                <w:szCs w:val="24"/>
              </w:rPr>
              <w:t>600</w:t>
            </w:r>
          </w:p>
        </w:tc>
        <w:tc>
          <w:tcPr>
            <w:tcW w:w="1716" w:type="dxa"/>
            <w:gridSpan w:val="2"/>
            <w:vAlign w:val="center"/>
          </w:tcPr>
          <w:p>
            <w:pPr>
              <w:snapToGrid w:val="0"/>
              <w:jc w:val="center"/>
              <w:rPr>
                <w:rFonts w:eastAsia="宋体"/>
                <w:sz w:val="24"/>
              </w:rPr>
            </w:pPr>
            <w:r>
              <w:rPr>
                <w:rFonts w:eastAsia="宋体"/>
                <w:sz w:val="24"/>
              </w:rPr>
              <w:t>绿化面积</w:t>
            </w:r>
          </w:p>
          <w:p>
            <w:pPr>
              <w:snapToGrid w:val="0"/>
              <w:jc w:val="center"/>
              <w:rPr>
                <w:rFonts w:eastAsia="宋体"/>
                <w:sz w:val="24"/>
              </w:rPr>
            </w:pPr>
            <w:r>
              <w:rPr>
                <w:rFonts w:eastAsia="宋体"/>
                <w:sz w:val="24"/>
              </w:rPr>
              <w:t>（平方米）</w:t>
            </w:r>
          </w:p>
        </w:tc>
        <w:tc>
          <w:tcPr>
            <w:tcW w:w="2865" w:type="dxa"/>
            <w:gridSpan w:val="3"/>
            <w:vAlign w:val="center"/>
          </w:tcPr>
          <w:p>
            <w:pPr>
              <w:snapToGrid w:val="0"/>
              <w:jc w:val="center"/>
              <w:rPr>
                <w:rFonts w:eastAsia="宋体"/>
                <w:sz w:val="24"/>
                <w:szCs w:val="24"/>
              </w:rPr>
            </w:pPr>
            <w:r>
              <w:rPr>
                <w:rFonts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593" w:type="dxa"/>
            <w:vAlign w:val="center"/>
          </w:tcPr>
          <w:p>
            <w:pPr>
              <w:snapToGrid w:val="0"/>
              <w:jc w:val="center"/>
              <w:rPr>
                <w:rFonts w:ascii="宋体" w:hAnsi="宋体" w:eastAsia="宋体"/>
                <w:sz w:val="24"/>
              </w:rPr>
            </w:pPr>
            <w:r>
              <w:rPr>
                <w:rFonts w:ascii="宋体" w:hAnsi="宋体" w:eastAsia="宋体"/>
                <w:sz w:val="24"/>
              </w:rPr>
              <w:t>总投资</w:t>
            </w:r>
          </w:p>
          <w:p>
            <w:pPr>
              <w:snapToGrid w:val="0"/>
              <w:jc w:val="center"/>
              <w:rPr>
                <w:rFonts w:ascii="宋体" w:hAnsi="宋体" w:eastAsia="宋体"/>
                <w:sz w:val="24"/>
              </w:rPr>
            </w:pPr>
            <w:r>
              <w:rPr>
                <w:rFonts w:ascii="宋体" w:hAnsi="宋体" w:eastAsia="宋体"/>
                <w:sz w:val="24"/>
              </w:rPr>
              <w:t>（万元）</w:t>
            </w:r>
          </w:p>
        </w:tc>
        <w:tc>
          <w:tcPr>
            <w:tcW w:w="1320" w:type="dxa"/>
            <w:vAlign w:val="center"/>
          </w:tcPr>
          <w:p>
            <w:pPr>
              <w:snapToGrid w:val="0"/>
              <w:jc w:val="center"/>
              <w:rPr>
                <w:rFonts w:eastAsia="宋体"/>
                <w:sz w:val="24"/>
                <w:szCs w:val="24"/>
              </w:rPr>
            </w:pPr>
            <w:r>
              <w:rPr>
                <w:rFonts w:hint="eastAsia" w:eastAsia="宋体"/>
                <w:sz w:val="24"/>
                <w:szCs w:val="24"/>
              </w:rPr>
              <w:t>320</w:t>
            </w:r>
          </w:p>
        </w:tc>
        <w:tc>
          <w:tcPr>
            <w:tcW w:w="1545" w:type="dxa"/>
            <w:gridSpan w:val="3"/>
            <w:vAlign w:val="center"/>
          </w:tcPr>
          <w:p>
            <w:pPr>
              <w:snapToGrid w:val="0"/>
              <w:jc w:val="center"/>
              <w:rPr>
                <w:rFonts w:eastAsia="宋体"/>
                <w:sz w:val="24"/>
              </w:rPr>
            </w:pPr>
            <w:r>
              <w:rPr>
                <w:rFonts w:eastAsia="宋体"/>
                <w:sz w:val="24"/>
              </w:rPr>
              <w:t>其中：环保投资（万元）</w:t>
            </w:r>
          </w:p>
        </w:tc>
        <w:tc>
          <w:tcPr>
            <w:tcW w:w="1716" w:type="dxa"/>
            <w:gridSpan w:val="2"/>
            <w:vAlign w:val="center"/>
          </w:tcPr>
          <w:p>
            <w:pPr>
              <w:pStyle w:val="40"/>
              <w:widowControl w:val="0"/>
              <w:snapToGrid w:val="0"/>
              <w:spacing w:before="0" w:after="0"/>
              <w:rPr>
                <w:rFonts w:ascii="Times New Roman" w:hAnsi="Times New Roman" w:eastAsia="宋体"/>
                <w:kern w:val="2"/>
              </w:rPr>
            </w:pPr>
            <w:r>
              <w:rPr>
                <w:rFonts w:hint="eastAsia" w:ascii="Times New Roman" w:hAnsi="Times New Roman" w:eastAsia="宋体"/>
                <w:kern w:val="2"/>
              </w:rPr>
              <w:t>24</w:t>
            </w:r>
          </w:p>
        </w:tc>
        <w:tc>
          <w:tcPr>
            <w:tcW w:w="1464" w:type="dxa"/>
            <w:gridSpan w:val="2"/>
            <w:vAlign w:val="center"/>
          </w:tcPr>
          <w:p>
            <w:pPr>
              <w:snapToGrid w:val="0"/>
              <w:jc w:val="center"/>
              <w:rPr>
                <w:rFonts w:eastAsia="宋体"/>
                <w:sz w:val="24"/>
              </w:rPr>
            </w:pPr>
            <w:r>
              <w:rPr>
                <w:rFonts w:eastAsia="宋体"/>
                <w:sz w:val="24"/>
              </w:rPr>
              <w:t>环保投资占总投资比例</w:t>
            </w:r>
          </w:p>
        </w:tc>
        <w:tc>
          <w:tcPr>
            <w:tcW w:w="1401" w:type="dxa"/>
            <w:vAlign w:val="center"/>
          </w:tcPr>
          <w:p>
            <w:pPr>
              <w:pStyle w:val="40"/>
              <w:widowControl w:val="0"/>
              <w:snapToGrid w:val="0"/>
              <w:spacing w:before="0" w:after="0"/>
              <w:rPr>
                <w:rFonts w:ascii="Times New Roman" w:hAnsi="Times New Roman" w:eastAsia="宋体"/>
                <w:spacing w:val="-6"/>
              </w:rPr>
            </w:pPr>
            <w:r>
              <w:rPr>
                <w:rFonts w:hint="eastAsia" w:ascii="Times New Roman" w:hAnsi="Times New Roman" w:eastAsia="宋体"/>
                <w:spacing w:val="-6"/>
              </w:rPr>
              <w:t>7.5</w:t>
            </w:r>
            <w:r>
              <w:rPr>
                <w:rFonts w:ascii="Times New Roman" w:hAnsi="Times New Roman" w:eastAsia="宋体"/>
                <w:spacing w:val="-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593" w:type="dxa"/>
            <w:vAlign w:val="center"/>
          </w:tcPr>
          <w:p>
            <w:pPr>
              <w:snapToGrid w:val="0"/>
              <w:jc w:val="center"/>
              <w:rPr>
                <w:rFonts w:ascii="宋体" w:hAnsi="宋体" w:eastAsia="宋体"/>
                <w:sz w:val="24"/>
              </w:rPr>
            </w:pPr>
            <w:r>
              <w:rPr>
                <w:rFonts w:ascii="宋体" w:hAnsi="宋体" w:eastAsia="宋体"/>
                <w:sz w:val="24"/>
              </w:rPr>
              <w:t>评价费用</w:t>
            </w:r>
          </w:p>
          <w:p>
            <w:pPr>
              <w:snapToGrid w:val="0"/>
              <w:jc w:val="center"/>
              <w:rPr>
                <w:rFonts w:ascii="宋体" w:hAnsi="宋体" w:eastAsia="宋体"/>
                <w:sz w:val="24"/>
                <w:szCs w:val="24"/>
              </w:rPr>
            </w:pPr>
            <w:r>
              <w:rPr>
                <w:rFonts w:ascii="宋体" w:hAnsi="宋体" w:eastAsia="宋体"/>
                <w:sz w:val="24"/>
                <w:szCs w:val="24"/>
              </w:rPr>
              <w:t>（万元）</w:t>
            </w:r>
          </w:p>
        </w:tc>
        <w:tc>
          <w:tcPr>
            <w:tcW w:w="2865" w:type="dxa"/>
            <w:gridSpan w:val="4"/>
            <w:vAlign w:val="center"/>
          </w:tcPr>
          <w:p>
            <w:pPr>
              <w:snapToGrid w:val="0"/>
              <w:jc w:val="center"/>
              <w:rPr>
                <w:rFonts w:eastAsia="宋体"/>
                <w:sz w:val="24"/>
              </w:rPr>
            </w:pPr>
            <w:r>
              <w:rPr>
                <w:rFonts w:eastAsia="宋体"/>
                <w:sz w:val="24"/>
              </w:rPr>
              <w:t>-</w:t>
            </w:r>
          </w:p>
        </w:tc>
        <w:tc>
          <w:tcPr>
            <w:tcW w:w="1716" w:type="dxa"/>
            <w:gridSpan w:val="2"/>
            <w:vAlign w:val="center"/>
          </w:tcPr>
          <w:p>
            <w:pPr>
              <w:snapToGrid w:val="0"/>
              <w:jc w:val="center"/>
              <w:rPr>
                <w:rFonts w:eastAsia="宋体"/>
                <w:sz w:val="24"/>
              </w:rPr>
            </w:pPr>
            <w:r>
              <w:rPr>
                <w:rFonts w:eastAsia="宋体"/>
                <w:sz w:val="24"/>
              </w:rPr>
              <w:t>预期投产</w:t>
            </w:r>
          </w:p>
          <w:p>
            <w:pPr>
              <w:snapToGrid w:val="0"/>
              <w:jc w:val="center"/>
              <w:rPr>
                <w:rFonts w:eastAsia="宋体"/>
                <w:sz w:val="24"/>
              </w:rPr>
            </w:pPr>
            <w:r>
              <w:rPr>
                <w:rFonts w:eastAsia="宋体"/>
                <w:sz w:val="24"/>
              </w:rPr>
              <w:t>日期</w:t>
            </w:r>
          </w:p>
        </w:tc>
        <w:tc>
          <w:tcPr>
            <w:tcW w:w="2865" w:type="dxa"/>
            <w:gridSpan w:val="3"/>
            <w:vAlign w:val="center"/>
          </w:tcPr>
          <w:p>
            <w:pPr>
              <w:snapToGrid w:val="0"/>
              <w:jc w:val="center"/>
              <w:rPr>
                <w:rFonts w:eastAsia="宋体"/>
                <w:sz w:val="24"/>
              </w:rPr>
            </w:pPr>
            <w:r>
              <w:rPr>
                <w:rFonts w:eastAsia="宋体"/>
                <w:sz w:val="24"/>
              </w:rPr>
              <w:t>2020</w:t>
            </w:r>
            <w:r>
              <w:rPr>
                <w:rFonts w:hint="eastAsia" w:eastAsia="宋体"/>
                <w:sz w:val="24"/>
              </w:rPr>
              <w:t>.</w:t>
            </w:r>
            <w:r>
              <w:rPr>
                <w:rFonts w:eastAsia="宋体"/>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7" w:hRule="atLeast"/>
        </w:trPr>
        <w:tc>
          <w:tcPr>
            <w:tcW w:w="9039" w:type="dxa"/>
            <w:gridSpan w:val="10"/>
          </w:tcPr>
          <w:p>
            <w:pPr>
              <w:pStyle w:val="36"/>
              <w:spacing w:line="360" w:lineRule="auto"/>
              <w:ind w:firstLine="0" w:firstLineChars="0"/>
              <w:rPr>
                <w:rFonts w:ascii="宋体" w:hAnsi="宋体"/>
                <w:b/>
                <w:szCs w:val="24"/>
              </w:rPr>
            </w:pPr>
            <w:r>
              <w:rPr>
                <w:rFonts w:hint="eastAsia" w:ascii="宋体" w:hAnsi="宋体"/>
                <w:b/>
                <w:szCs w:val="24"/>
              </w:rPr>
              <w:t>工程内容及规模</w:t>
            </w:r>
          </w:p>
          <w:p>
            <w:pPr>
              <w:pStyle w:val="36"/>
              <w:spacing w:line="360" w:lineRule="auto"/>
              <w:ind w:firstLine="482"/>
              <w:rPr>
                <w:rFonts w:ascii="宋体" w:hAnsi="宋体"/>
                <w:b/>
                <w:szCs w:val="24"/>
              </w:rPr>
            </w:pPr>
            <w:r>
              <w:rPr>
                <w:rFonts w:hint="eastAsia" w:ascii="宋体" w:hAnsi="宋体"/>
                <w:b/>
                <w:szCs w:val="24"/>
              </w:rPr>
              <w:t>1.项目由来</w:t>
            </w:r>
          </w:p>
          <w:p>
            <w:pPr>
              <w:pStyle w:val="36"/>
              <w:spacing w:line="360" w:lineRule="auto"/>
              <w:ind w:firstLine="480"/>
              <w:rPr>
                <w:color w:val="FF0000"/>
              </w:rPr>
            </w:pPr>
            <w:r>
              <w:rPr>
                <w:rFonts w:hint="eastAsia" w:ascii="宋体" w:hAnsi="宋体"/>
                <w:szCs w:val="24"/>
              </w:rPr>
              <w:t>辽宁恒久斯特消防科技有限公司</w:t>
            </w:r>
            <w:r>
              <w:rPr>
                <w:szCs w:val="24"/>
              </w:rPr>
              <w:t>位于</w:t>
            </w:r>
            <w:r>
              <w:rPr>
                <w:rFonts w:hint="eastAsia"/>
                <w:szCs w:val="24"/>
              </w:rPr>
              <w:t>锦州松山新区松山街道北三道壕子村</w:t>
            </w:r>
            <w:r>
              <w:rPr>
                <w:szCs w:val="24"/>
              </w:rPr>
              <w:t>，</w:t>
            </w:r>
            <w:r>
              <w:rPr>
                <w:rFonts w:hint="eastAsia"/>
                <w:szCs w:val="24"/>
              </w:rPr>
              <w:t>项目租赁锦州低压电器厂原有厂房，</w:t>
            </w:r>
            <w:r>
              <w:rPr>
                <w:szCs w:val="24"/>
              </w:rPr>
              <w:t>占地面积</w:t>
            </w:r>
            <w:r>
              <w:rPr>
                <w:rFonts w:hint="eastAsia"/>
                <w:szCs w:val="24"/>
              </w:rPr>
              <w:t>6</w:t>
            </w:r>
            <w:r>
              <w:rPr>
                <w:szCs w:val="24"/>
              </w:rPr>
              <w:t>00m</w:t>
            </w:r>
            <w:r>
              <w:rPr>
                <w:szCs w:val="24"/>
                <w:vertAlign w:val="superscript"/>
              </w:rPr>
              <w:t>2</w:t>
            </w:r>
            <w:r>
              <w:t>。</w:t>
            </w:r>
            <w:r>
              <w:rPr>
                <w:rFonts w:hint="eastAsia" w:ascii="宋体" w:hAnsi="宋体"/>
                <w:szCs w:val="24"/>
              </w:rPr>
              <w:t>生产新型阻火模块，年产新型阻火模块650立方米。</w:t>
            </w:r>
          </w:p>
          <w:p>
            <w:pPr>
              <w:pStyle w:val="36"/>
              <w:spacing w:line="360" w:lineRule="auto"/>
              <w:ind w:firstLine="480"/>
              <w:rPr>
                <w:rStyle w:val="32"/>
                <w:rFonts w:eastAsia="方正书宋简体"/>
                <w:color w:val="FF0000"/>
              </w:rPr>
            </w:pPr>
            <w:r>
              <w:rPr>
                <w:rFonts w:hint="eastAsia" w:ascii="宋体" w:hAnsi="宋体"/>
                <w:szCs w:val="24"/>
              </w:rPr>
              <w:t>根据《中华人民共和国环境保护法》、《中华人民共和国环境影响评价法》、《建设项目环境保护管理条例》等法律法规中的相关规定，该项目需进行环境影响评价。依据</w:t>
            </w:r>
            <w:bookmarkStart w:id="0" w:name="_Hlk26112486"/>
            <w:r>
              <w:rPr>
                <w:rFonts w:hint="eastAsia" w:ascii="宋体" w:hAnsi="宋体"/>
                <w:szCs w:val="24"/>
              </w:rPr>
              <w:t>《建设项目环境影响评价分类管理目录》</w:t>
            </w:r>
            <w:r>
              <w:rPr>
                <w:szCs w:val="24"/>
              </w:rPr>
              <w:t>（</w:t>
            </w:r>
            <w:r>
              <w:rPr>
                <w:rFonts w:hint="eastAsia"/>
                <w:szCs w:val="24"/>
              </w:rPr>
              <w:t>2017年6月29日环境保护部令第44号公布</w:t>
            </w:r>
            <w:r>
              <w:rPr>
                <w:szCs w:val="24"/>
              </w:rPr>
              <w:t>）</w:t>
            </w:r>
            <w:r>
              <w:rPr>
                <w:rFonts w:hint="eastAsia"/>
                <w:szCs w:val="24"/>
              </w:rPr>
              <w:t>及</w:t>
            </w:r>
            <w:r>
              <w:t>《关于修改〈建设项目环境影响评价分类管理名录〉部分内容的决定》</w:t>
            </w:r>
            <w:r>
              <w:rPr>
                <w:rFonts w:hint="eastAsia"/>
              </w:rPr>
              <w:t>（2018年4月28日公布）</w:t>
            </w:r>
            <w:r>
              <w:rPr>
                <w:rFonts w:hint="eastAsia" w:ascii="宋体" w:hAnsi="宋体"/>
                <w:szCs w:val="24"/>
              </w:rPr>
              <w:t>中的相关规定</w:t>
            </w:r>
            <w:bookmarkEnd w:id="0"/>
            <w:r>
              <w:rPr>
                <w:rFonts w:hint="eastAsia" w:ascii="宋体" w:hAnsi="宋体"/>
                <w:szCs w:val="24"/>
              </w:rPr>
              <w:t>（具体内容见表</w:t>
            </w:r>
            <w:r>
              <w:rPr>
                <w:szCs w:val="24"/>
              </w:rPr>
              <w:t>1</w:t>
            </w:r>
            <w:r>
              <w:rPr>
                <w:rFonts w:hint="eastAsia" w:ascii="宋体" w:hAnsi="宋体"/>
                <w:szCs w:val="24"/>
              </w:rPr>
              <w:t>），本项目环境影响评价方式应当编制环境影响评价报告表。</w:t>
            </w:r>
          </w:p>
          <w:p>
            <w:pPr>
              <w:pStyle w:val="93"/>
            </w:pPr>
            <w:r>
              <w:rPr>
                <w:rFonts w:hint="eastAsia"/>
              </w:rPr>
              <w:t>表1</w:t>
            </w:r>
            <w:r>
              <w:t xml:space="preserve">    </w:t>
            </w:r>
            <w:r>
              <w:rPr>
                <w:rFonts w:hint="eastAsia"/>
              </w:rPr>
              <w:t>建设项目环境影响评价分类管理名录</w:t>
            </w:r>
          </w:p>
          <w:tbl>
            <w:tblPr>
              <w:tblStyle w:val="26"/>
              <w:tblW w:w="8504" w:type="dxa"/>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989"/>
              <w:gridCol w:w="2551"/>
              <w:gridCol w:w="2260"/>
              <w:gridCol w:w="98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05" w:type="dxa"/>
                  <w:gridSpan w:val="2"/>
                  <w:tcBorders>
                    <w:top w:val="single" w:color="auto" w:sz="12" w:space="0"/>
                    <w:bottom w:val="single" w:color="auto" w:sz="4" w:space="0"/>
                    <w:tl2br w:val="single" w:color="auto" w:sz="4" w:space="0"/>
                  </w:tcBorders>
                </w:tcPr>
                <w:p>
                  <w:pPr>
                    <w:pStyle w:val="36"/>
                    <w:spacing w:line="240" w:lineRule="auto"/>
                    <w:ind w:firstLine="0" w:firstLineChars="0"/>
                    <w:jc w:val="center"/>
                    <w:rPr>
                      <w:rStyle w:val="32"/>
                    </w:rPr>
                  </w:pPr>
                  <w:r>
                    <w:rPr>
                      <w:rStyle w:val="32"/>
                    </w:rPr>
                    <w:t xml:space="preserve">             环评类别   </w:t>
                  </w:r>
                </w:p>
                <w:p>
                  <w:pPr>
                    <w:pStyle w:val="36"/>
                    <w:spacing w:line="240" w:lineRule="auto"/>
                    <w:ind w:firstLine="0" w:firstLineChars="0"/>
                    <w:rPr>
                      <w:rStyle w:val="32"/>
                    </w:rPr>
                  </w:pPr>
                  <w:r>
                    <w:rPr>
                      <w:rStyle w:val="32"/>
                    </w:rPr>
                    <w:t>项目类别</w:t>
                  </w:r>
                </w:p>
              </w:tc>
              <w:tc>
                <w:tcPr>
                  <w:tcW w:w="2551" w:type="dxa"/>
                  <w:tcBorders>
                    <w:top w:val="single" w:color="auto" w:sz="12" w:space="0"/>
                    <w:bottom w:val="single" w:color="auto" w:sz="4" w:space="0"/>
                    <w:tl2br w:val="nil"/>
                    <w:tr2bl w:val="nil"/>
                  </w:tcBorders>
                </w:tcPr>
                <w:p>
                  <w:pPr>
                    <w:pStyle w:val="36"/>
                    <w:spacing w:before="144" w:beforeLines="30" w:line="240" w:lineRule="auto"/>
                    <w:ind w:firstLine="0" w:firstLineChars="0"/>
                    <w:jc w:val="center"/>
                    <w:rPr>
                      <w:rStyle w:val="32"/>
                    </w:rPr>
                  </w:pPr>
                  <w:r>
                    <w:rPr>
                      <w:rStyle w:val="32"/>
                    </w:rPr>
                    <w:t>报告书</w:t>
                  </w:r>
                </w:p>
              </w:tc>
              <w:tc>
                <w:tcPr>
                  <w:tcW w:w="2260" w:type="dxa"/>
                  <w:tcBorders>
                    <w:top w:val="single" w:color="auto" w:sz="12" w:space="0"/>
                    <w:bottom w:val="single" w:color="auto" w:sz="4" w:space="0"/>
                    <w:tl2br w:val="nil"/>
                    <w:tr2bl w:val="nil"/>
                  </w:tcBorders>
                </w:tcPr>
                <w:p>
                  <w:pPr>
                    <w:pStyle w:val="36"/>
                    <w:spacing w:before="144" w:beforeLines="30" w:line="240" w:lineRule="auto"/>
                    <w:ind w:firstLine="0" w:firstLineChars="0"/>
                    <w:jc w:val="center"/>
                    <w:rPr>
                      <w:rStyle w:val="32"/>
                    </w:rPr>
                  </w:pPr>
                  <w:r>
                    <w:rPr>
                      <w:rStyle w:val="32"/>
                    </w:rPr>
                    <w:t>报告表</w:t>
                  </w:r>
                </w:p>
              </w:tc>
              <w:tc>
                <w:tcPr>
                  <w:tcW w:w="988" w:type="dxa"/>
                  <w:tcBorders>
                    <w:top w:val="single" w:color="auto" w:sz="12" w:space="0"/>
                    <w:bottom w:val="single" w:color="auto" w:sz="4" w:space="0"/>
                    <w:tl2br w:val="nil"/>
                    <w:tr2bl w:val="nil"/>
                  </w:tcBorders>
                </w:tcPr>
                <w:p>
                  <w:pPr>
                    <w:pStyle w:val="36"/>
                    <w:spacing w:before="144" w:beforeLines="30" w:line="240" w:lineRule="auto"/>
                    <w:ind w:firstLine="0" w:firstLineChars="0"/>
                    <w:jc w:val="center"/>
                    <w:rPr>
                      <w:rStyle w:val="32"/>
                    </w:rPr>
                  </w:pPr>
                  <w:r>
                    <w:rPr>
                      <w:rStyle w:val="32"/>
                    </w:rPr>
                    <w:t>登记表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04" w:type="dxa"/>
                  <w:gridSpan w:val="5"/>
                  <w:tcBorders>
                    <w:top w:val="single" w:color="auto" w:sz="4" w:space="0"/>
                    <w:bottom w:val="single" w:color="auto" w:sz="4" w:space="0"/>
                    <w:tl2br w:val="nil"/>
                    <w:tr2bl w:val="nil"/>
                  </w:tcBorders>
                </w:tcPr>
                <w:p>
                  <w:pPr>
                    <w:pStyle w:val="36"/>
                    <w:spacing w:line="240" w:lineRule="auto"/>
                    <w:ind w:firstLine="0" w:firstLineChars="0"/>
                    <w:rPr>
                      <w:rStyle w:val="32"/>
                    </w:rPr>
                  </w:pPr>
                  <w:r>
                    <w:rPr>
                      <w:rStyle w:val="32"/>
                      <w:rFonts w:hint="eastAsia"/>
                    </w:rPr>
                    <w:t>十九、非金属矿物制品</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6" w:type="dxa"/>
                  <w:tcBorders>
                    <w:top w:val="single" w:color="auto" w:sz="4" w:space="0"/>
                    <w:bottom w:val="single" w:color="auto" w:sz="12" w:space="0"/>
                    <w:tl2br w:val="nil"/>
                    <w:tr2bl w:val="nil"/>
                  </w:tcBorders>
                </w:tcPr>
                <w:p>
                  <w:pPr>
                    <w:pStyle w:val="36"/>
                    <w:spacing w:before="144" w:beforeLines="30" w:line="240" w:lineRule="auto"/>
                    <w:ind w:firstLine="0" w:firstLineChars="0"/>
                    <w:jc w:val="center"/>
                    <w:rPr>
                      <w:rStyle w:val="32"/>
                    </w:rPr>
                  </w:pPr>
                  <w:r>
                    <w:rPr>
                      <w:rStyle w:val="32"/>
                      <w:rFonts w:hint="eastAsia"/>
                    </w:rPr>
                    <w:t>55</w:t>
                  </w:r>
                </w:p>
              </w:tc>
              <w:tc>
                <w:tcPr>
                  <w:tcW w:w="1989" w:type="dxa"/>
                  <w:tcBorders>
                    <w:top w:val="single" w:color="auto" w:sz="4" w:space="0"/>
                    <w:bottom w:val="single" w:color="auto" w:sz="12" w:space="0"/>
                    <w:tl2br w:val="nil"/>
                    <w:tr2bl w:val="nil"/>
                  </w:tcBorders>
                </w:tcPr>
                <w:p>
                  <w:pPr>
                    <w:pStyle w:val="36"/>
                    <w:spacing w:before="144" w:beforeLines="30" w:line="240" w:lineRule="auto"/>
                    <w:ind w:firstLine="0" w:firstLineChars="0"/>
                    <w:jc w:val="center"/>
                    <w:rPr>
                      <w:rStyle w:val="32"/>
                    </w:rPr>
                  </w:pPr>
                  <w:r>
                    <w:rPr>
                      <w:rStyle w:val="32"/>
                      <w:rFonts w:hint="eastAsia"/>
                    </w:rPr>
                    <w:t>耐火材料及其制品</w:t>
                  </w:r>
                </w:p>
              </w:tc>
              <w:tc>
                <w:tcPr>
                  <w:tcW w:w="2551" w:type="dxa"/>
                  <w:tcBorders>
                    <w:top w:val="single" w:color="auto" w:sz="4" w:space="0"/>
                    <w:bottom w:val="single" w:color="auto" w:sz="12" w:space="0"/>
                    <w:tl2br w:val="nil"/>
                    <w:tr2bl w:val="nil"/>
                  </w:tcBorders>
                  <w:vAlign w:val="center"/>
                </w:tcPr>
                <w:p>
                  <w:pPr>
                    <w:pStyle w:val="36"/>
                    <w:spacing w:line="240" w:lineRule="auto"/>
                    <w:ind w:firstLine="0" w:firstLineChars="0"/>
                    <w:jc w:val="center"/>
                    <w:rPr>
                      <w:rStyle w:val="32"/>
                    </w:rPr>
                  </w:pPr>
                  <w:r>
                    <w:rPr>
                      <w:rStyle w:val="32"/>
                      <w:rFonts w:hint="eastAsia"/>
                    </w:rPr>
                    <w:t>石棉制品</w:t>
                  </w:r>
                </w:p>
              </w:tc>
              <w:tc>
                <w:tcPr>
                  <w:tcW w:w="2260" w:type="dxa"/>
                  <w:tcBorders>
                    <w:top w:val="single" w:color="auto" w:sz="4" w:space="0"/>
                    <w:bottom w:val="single" w:color="auto" w:sz="12" w:space="0"/>
                    <w:tl2br w:val="nil"/>
                    <w:tr2bl w:val="nil"/>
                  </w:tcBorders>
                  <w:vAlign w:val="center"/>
                </w:tcPr>
                <w:p>
                  <w:pPr>
                    <w:pStyle w:val="36"/>
                    <w:spacing w:line="240" w:lineRule="auto"/>
                    <w:ind w:firstLine="0" w:firstLineChars="0"/>
                    <w:jc w:val="center"/>
                    <w:rPr>
                      <w:rStyle w:val="32"/>
                    </w:rPr>
                  </w:pPr>
                  <w:r>
                    <w:rPr>
                      <w:rStyle w:val="32"/>
                    </w:rPr>
                    <w:t>其他</w:t>
                  </w:r>
                </w:p>
              </w:tc>
              <w:tc>
                <w:tcPr>
                  <w:tcW w:w="988" w:type="dxa"/>
                  <w:tcBorders>
                    <w:top w:val="single" w:color="auto" w:sz="4" w:space="0"/>
                    <w:bottom w:val="single" w:color="auto" w:sz="12" w:space="0"/>
                    <w:tl2br w:val="nil"/>
                    <w:tr2bl w:val="nil"/>
                  </w:tcBorders>
                </w:tcPr>
                <w:p>
                  <w:pPr>
                    <w:pStyle w:val="36"/>
                    <w:spacing w:before="144" w:beforeLines="30" w:line="240" w:lineRule="auto"/>
                    <w:ind w:firstLine="0" w:firstLineChars="0"/>
                    <w:jc w:val="center"/>
                    <w:rPr>
                      <w:rStyle w:val="32"/>
                    </w:rPr>
                  </w:pPr>
                  <w:r>
                    <w:rPr>
                      <w:rStyle w:val="32"/>
                    </w:rPr>
                    <w:t>/</w:t>
                  </w:r>
                </w:p>
              </w:tc>
            </w:tr>
          </w:tbl>
          <w:p>
            <w:pPr>
              <w:pStyle w:val="36"/>
              <w:spacing w:line="360" w:lineRule="auto"/>
              <w:ind w:firstLine="480"/>
              <w:rPr>
                <w:rFonts w:ascii="宋体" w:hAnsi="宋体"/>
                <w:szCs w:val="24"/>
              </w:rPr>
            </w:pPr>
            <w:r>
              <w:rPr>
                <w:rFonts w:hint="eastAsia" w:ascii="宋体" w:hAnsi="宋体"/>
                <w:szCs w:val="24"/>
              </w:rPr>
              <w:t>受辽宁恒久斯特消防科技有限公司委托，</w:t>
            </w:r>
            <w:r>
              <w:rPr>
                <w:rFonts w:hint="eastAsia" w:hAnsi="宋体"/>
                <w:bCs/>
                <w:szCs w:val="24"/>
              </w:rPr>
              <w:t xml:space="preserve">根据国家环境影响评价有关法律法规和导则标准， </w:t>
            </w:r>
            <w:bookmarkStart w:id="1" w:name="_Hlk26111600"/>
            <w:r>
              <w:rPr>
                <w:rFonts w:hint="eastAsia" w:hAnsi="宋体"/>
                <w:bCs/>
                <w:szCs w:val="24"/>
              </w:rPr>
              <w:t>锦州鑫旺科技咨询有限公司</w:t>
            </w:r>
            <w:bookmarkEnd w:id="1"/>
            <w:r>
              <w:rPr>
                <w:rFonts w:hint="eastAsia" w:ascii="宋体" w:hAnsi="宋体"/>
                <w:szCs w:val="24"/>
              </w:rPr>
              <w:t>通过场地踏勘、环境现状调查分析，对建设项目可能产生的环境影响进行分析，编制完成了《年产</w:t>
            </w:r>
            <w:r>
              <w:rPr>
                <w:rFonts w:ascii="宋体" w:hAnsi="宋体"/>
                <w:szCs w:val="24"/>
              </w:rPr>
              <w:t>650</w:t>
            </w:r>
            <w:r>
              <w:rPr>
                <w:rFonts w:hint="eastAsia" w:ascii="宋体" w:hAnsi="宋体"/>
                <w:szCs w:val="24"/>
              </w:rPr>
              <w:t>立方绝缘防爆型阻火模块项目环境影响报告表》。</w:t>
            </w:r>
          </w:p>
          <w:p>
            <w:pPr>
              <w:pStyle w:val="36"/>
              <w:spacing w:line="360" w:lineRule="auto"/>
              <w:ind w:firstLine="482"/>
              <w:rPr>
                <w:rFonts w:ascii="宋体" w:hAnsi="宋体"/>
                <w:b/>
                <w:szCs w:val="24"/>
              </w:rPr>
            </w:pPr>
            <w:r>
              <w:rPr>
                <w:rFonts w:hint="eastAsia" w:ascii="宋体" w:hAnsi="宋体"/>
                <w:b/>
                <w:szCs w:val="24"/>
              </w:rPr>
              <w:t>2.项目组成</w:t>
            </w:r>
          </w:p>
          <w:p>
            <w:pPr>
              <w:pStyle w:val="36"/>
              <w:spacing w:line="360" w:lineRule="auto"/>
              <w:ind w:firstLine="480"/>
              <w:rPr>
                <w:szCs w:val="24"/>
              </w:rPr>
            </w:pPr>
            <w:r>
              <w:rPr>
                <w:rFonts w:hint="eastAsia"/>
              </w:rPr>
              <w:t>本项目</w:t>
            </w:r>
            <w:r>
              <w:rPr>
                <w:rFonts w:hint="eastAsia"/>
                <w:szCs w:val="24"/>
              </w:rPr>
              <w:t>总投资320万元，其中环保投资12万元，占总投资的24%。建设项目由主体工程、公用工程、环保工程和外委协作等几部分组成，详见表2。</w:t>
            </w:r>
          </w:p>
          <w:p>
            <w:pPr>
              <w:pStyle w:val="36"/>
              <w:spacing w:line="360" w:lineRule="auto"/>
              <w:ind w:firstLine="480"/>
              <w:rPr>
                <w:szCs w:val="24"/>
              </w:rPr>
            </w:pPr>
            <w:r>
              <w:rPr>
                <w:rFonts w:hint="eastAsia"/>
                <w:szCs w:val="24"/>
              </w:rPr>
              <w:t>建设项目地理位置详见附图1。</w:t>
            </w:r>
          </w:p>
          <w:p>
            <w:pPr>
              <w:pStyle w:val="93"/>
            </w:pPr>
            <w:r>
              <w:rPr>
                <w:rFonts w:hint="eastAsia"/>
              </w:rPr>
              <w:t>表2</w:t>
            </w:r>
            <w:r>
              <w:t xml:space="preserve">      </w:t>
            </w:r>
            <w:r>
              <w:rPr>
                <w:rFonts w:hint="eastAsia"/>
              </w:rPr>
              <w:t>建设项目组成一览表</w:t>
            </w:r>
          </w:p>
          <w:tbl>
            <w:tblPr>
              <w:tblStyle w:val="26"/>
              <w:tblW w:w="850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701"/>
              <w:gridCol w:w="4253"/>
              <w:gridCol w:w="12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76" w:type="dxa"/>
                  <w:vAlign w:val="center"/>
                </w:tcPr>
                <w:p>
                  <w:pPr>
                    <w:pStyle w:val="36"/>
                    <w:spacing w:line="240" w:lineRule="auto"/>
                    <w:ind w:firstLine="0" w:firstLineChars="0"/>
                    <w:jc w:val="center"/>
                    <w:rPr>
                      <w:rStyle w:val="32"/>
                    </w:rPr>
                  </w:pPr>
                  <w:r>
                    <w:rPr>
                      <w:rStyle w:val="32"/>
                    </w:rPr>
                    <w:t>工程组成</w:t>
                  </w:r>
                </w:p>
              </w:tc>
              <w:tc>
                <w:tcPr>
                  <w:tcW w:w="1701" w:type="dxa"/>
                  <w:vAlign w:val="center"/>
                </w:tcPr>
                <w:p>
                  <w:pPr>
                    <w:pStyle w:val="36"/>
                    <w:spacing w:line="240" w:lineRule="auto"/>
                    <w:ind w:firstLine="0" w:firstLineChars="0"/>
                    <w:jc w:val="center"/>
                    <w:rPr>
                      <w:rStyle w:val="32"/>
                    </w:rPr>
                  </w:pPr>
                  <w:r>
                    <w:rPr>
                      <w:rStyle w:val="32"/>
                    </w:rPr>
                    <w:t>主要内容</w:t>
                  </w:r>
                </w:p>
              </w:tc>
              <w:tc>
                <w:tcPr>
                  <w:tcW w:w="4253" w:type="dxa"/>
                </w:tcPr>
                <w:p>
                  <w:pPr>
                    <w:pStyle w:val="36"/>
                    <w:spacing w:line="240" w:lineRule="auto"/>
                    <w:ind w:firstLine="0" w:firstLineChars="0"/>
                    <w:jc w:val="center"/>
                    <w:rPr>
                      <w:rStyle w:val="32"/>
                    </w:rPr>
                  </w:pPr>
                  <w:r>
                    <w:rPr>
                      <w:rStyle w:val="32"/>
                    </w:rPr>
                    <w:t>建设内容</w:t>
                  </w:r>
                </w:p>
              </w:tc>
              <w:tc>
                <w:tcPr>
                  <w:tcW w:w="1274" w:type="dxa"/>
                </w:tcPr>
                <w:p>
                  <w:pPr>
                    <w:pStyle w:val="36"/>
                    <w:spacing w:line="240" w:lineRule="auto"/>
                    <w:ind w:firstLine="0" w:firstLineChars="0"/>
                    <w:jc w:val="center"/>
                    <w:rPr>
                      <w:rStyle w:val="32"/>
                    </w:rPr>
                  </w:pPr>
                  <w:r>
                    <w:rPr>
                      <w:rStyle w:val="32"/>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Align w:val="center"/>
                </w:tcPr>
                <w:p>
                  <w:pPr>
                    <w:pStyle w:val="36"/>
                    <w:spacing w:line="240" w:lineRule="auto"/>
                    <w:ind w:firstLine="0" w:firstLineChars="0"/>
                    <w:jc w:val="center"/>
                    <w:rPr>
                      <w:rStyle w:val="32"/>
                    </w:rPr>
                  </w:pPr>
                  <w:r>
                    <w:rPr>
                      <w:rStyle w:val="32"/>
                    </w:rPr>
                    <w:t>主体工程</w:t>
                  </w:r>
                </w:p>
              </w:tc>
              <w:tc>
                <w:tcPr>
                  <w:tcW w:w="1701" w:type="dxa"/>
                  <w:vAlign w:val="center"/>
                </w:tcPr>
                <w:p>
                  <w:pPr>
                    <w:pStyle w:val="36"/>
                    <w:spacing w:line="240" w:lineRule="auto"/>
                    <w:ind w:firstLine="0" w:firstLineChars="0"/>
                    <w:jc w:val="center"/>
                    <w:rPr>
                      <w:rStyle w:val="32"/>
                    </w:rPr>
                  </w:pPr>
                  <w:r>
                    <w:rPr>
                      <w:rStyle w:val="32"/>
                      <w:rFonts w:hint="eastAsia"/>
                    </w:rPr>
                    <w:t>阻火模块生产线</w:t>
                  </w:r>
                </w:p>
              </w:tc>
              <w:tc>
                <w:tcPr>
                  <w:tcW w:w="4253" w:type="dxa"/>
                </w:tcPr>
                <w:p>
                  <w:pPr>
                    <w:pStyle w:val="36"/>
                    <w:spacing w:line="240" w:lineRule="auto"/>
                    <w:ind w:firstLine="0" w:firstLineChars="0"/>
                    <w:jc w:val="left"/>
                    <w:rPr>
                      <w:rStyle w:val="32"/>
                    </w:rPr>
                  </w:pPr>
                  <w:r>
                    <w:rPr>
                      <w:rStyle w:val="32"/>
                    </w:rPr>
                    <w:t>租用厂区内现有厂房，</w:t>
                  </w:r>
                  <w:r>
                    <w:rPr>
                      <w:rStyle w:val="32"/>
                      <w:rFonts w:hint="eastAsia"/>
                    </w:rPr>
                    <w:t>建设配料、混合搅拌、冷压成型、脱模干燥等</w:t>
                  </w:r>
                  <w:r>
                    <w:rPr>
                      <w:rStyle w:val="32"/>
                    </w:rPr>
                    <w:t>生产</w:t>
                  </w:r>
                  <w:r>
                    <w:rPr>
                      <w:rStyle w:val="32"/>
                      <w:rFonts w:hint="eastAsia"/>
                    </w:rPr>
                    <w:t>设施及安装烟气收集治理设施</w:t>
                  </w:r>
                </w:p>
              </w:tc>
              <w:tc>
                <w:tcPr>
                  <w:tcW w:w="1274" w:type="dxa"/>
                  <w:vAlign w:val="center"/>
                </w:tcPr>
                <w:p>
                  <w:pPr>
                    <w:pStyle w:val="36"/>
                    <w:spacing w:line="240" w:lineRule="auto"/>
                    <w:ind w:firstLine="0" w:firstLineChars="0"/>
                    <w:jc w:val="center"/>
                    <w:rPr>
                      <w:rStyle w:val="32"/>
                    </w:rPr>
                  </w:pPr>
                  <w:r>
                    <w:rPr>
                      <w:rStyle w:val="32"/>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Align w:val="center"/>
                </w:tcPr>
                <w:p>
                  <w:pPr>
                    <w:pStyle w:val="36"/>
                    <w:spacing w:line="240" w:lineRule="auto"/>
                    <w:ind w:firstLine="0" w:firstLineChars="0"/>
                    <w:jc w:val="center"/>
                    <w:rPr>
                      <w:rStyle w:val="32"/>
                    </w:rPr>
                  </w:pPr>
                  <w:r>
                    <w:rPr>
                      <w:rStyle w:val="32"/>
                      <w:rFonts w:hint="eastAsia"/>
                    </w:rPr>
                    <w:t>辅助工程</w:t>
                  </w:r>
                </w:p>
              </w:tc>
              <w:tc>
                <w:tcPr>
                  <w:tcW w:w="1701" w:type="dxa"/>
                  <w:vAlign w:val="center"/>
                </w:tcPr>
                <w:p>
                  <w:pPr>
                    <w:pStyle w:val="36"/>
                    <w:spacing w:line="240" w:lineRule="auto"/>
                    <w:ind w:firstLine="0" w:firstLineChars="0"/>
                    <w:jc w:val="center"/>
                    <w:rPr>
                      <w:rStyle w:val="32"/>
                    </w:rPr>
                  </w:pPr>
                  <w:r>
                    <w:rPr>
                      <w:rStyle w:val="32"/>
                      <w:rFonts w:hint="eastAsia"/>
                    </w:rPr>
                    <w:t>办公区及休息区</w:t>
                  </w:r>
                </w:p>
              </w:tc>
              <w:tc>
                <w:tcPr>
                  <w:tcW w:w="4253" w:type="dxa"/>
                </w:tcPr>
                <w:p>
                  <w:pPr>
                    <w:pStyle w:val="36"/>
                    <w:spacing w:line="240" w:lineRule="auto"/>
                    <w:ind w:firstLine="0" w:firstLineChars="0"/>
                    <w:jc w:val="left"/>
                    <w:rPr>
                      <w:rStyle w:val="32"/>
                    </w:rPr>
                  </w:pPr>
                  <w:r>
                    <w:rPr>
                      <w:rStyle w:val="32"/>
                      <w:rFonts w:hint="eastAsia"/>
                    </w:rPr>
                    <w:t>在租赁的厂房内二层</w:t>
                  </w:r>
                  <w:r>
                    <w:rPr>
                      <w:rStyle w:val="32"/>
                    </w:rPr>
                    <w:t>以上</w:t>
                  </w:r>
                </w:p>
              </w:tc>
              <w:tc>
                <w:tcPr>
                  <w:tcW w:w="1274" w:type="dxa"/>
                  <w:vAlign w:val="center"/>
                </w:tcPr>
                <w:p>
                  <w:pPr>
                    <w:pStyle w:val="36"/>
                    <w:spacing w:line="240" w:lineRule="auto"/>
                    <w:ind w:firstLine="0" w:firstLineChars="0"/>
                    <w:jc w:val="center"/>
                    <w:rPr>
                      <w:rStyle w:val="32"/>
                    </w:rPr>
                  </w:pPr>
                  <w:r>
                    <w:rPr>
                      <w:rStyle w:val="32"/>
                      <w:rFonts w:hint="eastAsia"/>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restart"/>
                  <w:vAlign w:val="center"/>
                </w:tcPr>
                <w:p>
                  <w:pPr>
                    <w:pStyle w:val="36"/>
                    <w:spacing w:line="240" w:lineRule="auto"/>
                    <w:ind w:firstLine="0" w:firstLineChars="0"/>
                    <w:jc w:val="center"/>
                    <w:rPr>
                      <w:rStyle w:val="32"/>
                    </w:rPr>
                  </w:pPr>
                  <w:r>
                    <w:rPr>
                      <w:rStyle w:val="32"/>
                      <w:rFonts w:hint="eastAsia"/>
                    </w:rPr>
                    <w:t>储运工程</w:t>
                  </w:r>
                </w:p>
              </w:tc>
              <w:tc>
                <w:tcPr>
                  <w:tcW w:w="1701" w:type="dxa"/>
                  <w:vAlign w:val="center"/>
                </w:tcPr>
                <w:p>
                  <w:pPr>
                    <w:pStyle w:val="36"/>
                    <w:spacing w:line="240" w:lineRule="auto"/>
                    <w:ind w:firstLine="0" w:firstLineChars="0"/>
                    <w:jc w:val="center"/>
                    <w:rPr>
                      <w:rStyle w:val="32"/>
                    </w:rPr>
                  </w:pPr>
                  <w:r>
                    <w:rPr>
                      <w:rStyle w:val="32"/>
                      <w:rFonts w:hint="eastAsia"/>
                    </w:rPr>
                    <w:t>仓库</w:t>
                  </w:r>
                </w:p>
              </w:tc>
              <w:tc>
                <w:tcPr>
                  <w:tcW w:w="4253" w:type="dxa"/>
                </w:tcPr>
                <w:p>
                  <w:pPr>
                    <w:pStyle w:val="36"/>
                    <w:spacing w:line="240" w:lineRule="auto"/>
                    <w:ind w:firstLine="0" w:firstLineChars="0"/>
                    <w:jc w:val="left"/>
                    <w:rPr>
                      <w:rStyle w:val="32"/>
                    </w:rPr>
                  </w:pPr>
                  <w:r>
                    <w:rPr>
                      <w:rStyle w:val="32"/>
                      <w:rFonts w:hint="eastAsia"/>
                    </w:rPr>
                    <w:t>在租赁的厂房内进行分隔，存储原料、成品及少量一般固体废物</w:t>
                  </w:r>
                </w:p>
              </w:tc>
              <w:tc>
                <w:tcPr>
                  <w:tcW w:w="1274" w:type="dxa"/>
                  <w:vAlign w:val="center"/>
                </w:tcPr>
                <w:p>
                  <w:pPr>
                    <w:pStyle w:val="36"/>
                    <w:spacing w:line="240" w:lineRule="auto"/>
                    <w:ind w:firstLine="0" w:firstLineChars="0"/>
                    <w:jc w:val="center"/>
                    <w:rPr>
                      <w:rStyle w:val="32"/>
                    </w:rPr>
                  </w:pPr>
                  <w:r>
                    <w:rPr>
                      <w:rStyle w:val="32"/>
                      <w:rFonts w:hint="eastAsia"/>
                    </w:rPr>
                    <w:t>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pStyle w:val="36"/>
                    <w:spacing w:line="240" w:lineRule="auto"/>
                    <w:ind w:firstLine="0" w:firstLineChars="0"/>
                    <w:jc w:val="center"/>
                    <w:rPr>
                      <w:rStyle w:val="32"/>
                    </w:rPr>
                  </w:pPr>
                </w:p>
              </w:tc>
              <w:tc>
                <w:tcPr>
                  <w:tcW w:w="1701" w:type="dxa"/>
                  <w:vAlign w:val="center"/>
                </w:tcPr>
                <w:p>
                  <w:pPr>
                    <w:pStyle w:val="36"/>
                    <w:spacing w:line="240" w:lineRule="auto"/>
                    <w:ind w:firstLine="0" w:firstLineChars="0"/>
                    <w:jc w:val="center"/>
                    <w:rPr>
                      <w:rStyle w:val="32"/>
                    </w:rPr>
                  </w:pPr>
                  <w:r>
                    <w:rPr>
                      <w:rStyle w:val="32"/>
                      <w:rFonts w:hint="eastAsia"/>
                    </w:rPr>
                    <w:t>危废暂存间</w:t>
                  </w:r>
                </w:p>
              </w:tc>
              <w:tc>
                <w:tcPr>
                  <w:tcW w:w="4253" w:type="dxa"/>
                </w:tcPr>
                <w:p>
                  <w:pPr>
                    <w:pStyle w:val="36"/>
                    <w:spacing w:line="240" w:lineRule="auto"/>
                    <w:ind w:firstLine="0" w:firstLineChars="0"/>
                    <w:jc w:val="left"/>
                    <w:rPr>
                      <w:rStyle w:val="32"/>
                    </w:rPr>
                  </w:pPr>
                  <w:r>
                    <w:rPr>
                      <w:rStyle w:val="32"/>
                      <w:rFonts w:hint="eastAsia"/>
                    </w:rPr>
                    <w:t>在租赁的厂房内进行分隔，面积10</w:t>
                  </w:r>
                  <w:r>
                    <w:t xml:space="preserve"> </w:t>
                  </w:r>
                  <w:r>
                    <w:rPr>
                      <w:rStyle w:val="32"/>
                    </w:rPr>
                    <w:t>m</w:t>
                  </w:r>
                  <w:r>
                    <w:rPr>
                      <w:rStyle w:val="32"/>
                      <w:vertAlign w:val="superscript"/>
                    </w:rPr>
                    <w:t>2</w:t>
                  </w:r>
                  <w:r>
                    <w:rPr>
                      <w:rStyle w:val="32"/>
                      <w:rFonts w:hint="eastAsia"/>
                    </w:rPr>
                    <w:t>，临时存储废液压油、废活性炭及废胶桶</w:t>
                  </w:r>
                </w:p>
              </w:tc>
              <w:tc>
                <w:tcPr>
                  <w:tcW w:w="1274" w:type="dxa"/>
                  <w:vAlign w:val="center"/>
                </w:tcPr>
                <w:p>
                  <w:pPr>
                    <w:pStyle w:val="36"/>
                    <w:spacing w:line="240" w:lineRule="auto"/>
                    <w:ind w:firstLine="0" w:firstLineChars="0"/>
                    <w:jc w:val="center"/>
                    <w:rPr>
                      <w:rStyle w:val="32"/>
                    </w:rPr>
                  </w:pPr>
                  <w:r>
                    <w:rPr>
                      <w:rStyle w:val="32"/>
                      <w:rFonts w:hint="eastAsia"/>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restart"/>
                  <w:vAlign w:val="center"/>
                </w:tcPr>
                <w:p>
                  <w:pPr>
                    <w:pStyle w:val="36"/>
                    <w:spacing w:line="240" w:lineRule="auto"/>
                    <w:ind w:firstLine="0" w:firstLineChars="0"/>
                    <w:jc w:val="center"/>
                    <w:rPr>
                      <w:rStyle w:val="32"/>
                    </w:rPr>
                  </w:pPr>
                  <w:r>
                    <w:rPr>
                      <w:rStyle w:val="32"/>
                    </w:rPr>
                    <w:t>公用工程</w:t>
                  </w:r>
                </w:p>
              </w:tc>
              <w:tc>
                <w:tcPr>
                  <w:tcW w:w="1701" w:type="dxa"/>
                  <w:vAlign w:val="center"/>
                </w:tcPr>
                <w:p>
                  <w:pPr>
                    <w:pStyle w:val="36"/>
                    <w:spacing w:line="240" w:lineRule="auto"/>
                    <w:ind w:firstLine="0" w:firstLineChars="0"/>
                    <w:jc w:val="center"/>
                    <w:rPr>
                      <w:rStyle w:val="32"/>
                    </w:rPr>
                  </w:pPr>
                  <w:r>
                    <w:rPr>
                      <w:rStyle w:val="32"/>
                    </w:rPr>
                    <w:t>给水</w:t>
                  </w:r>
                </w:p>
              </w:tc>
              <w:tc>
                <w:tcPr>
                  <w:tcW w:w="5527" w:type="dxa"/>
                  <w:gridSpan w:val="2"/>
                </w:tcPr>
                <w:p>
                  <w:pPr>
                    <w:pStyle w:val="36"/>
                    <w:spacing w:line="240" w:lineRule="auto"/>
                    <w:ind w:firstLine="0" w:firstLineChars="0"/>
                    <w:jc w:val="left"/>
                    <w:rPr>
                      <w:rStyle w:val="32"/>
                    </w:rPr>
                  </w:pPr>
                  <w:r>
                    <w:rPr>
                      <w:rStyle w:val="32"/>
                      <w:rFonts w:hint="eastAsia"/>
                    </w:rPr>
                    <w:t>本项目无生产用水。饮用水外购，清洁用水为厂区内井水。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pStyle w:val="36"/>
                    <w:spacing w:line="240" w:lineRule="auto"/>
                    <w:ind w:firstLine="0" w:firstLineChars="0"/>
                    <w:jc w:val="center"/>
                    <w:rPr>
                      <w:rStyle w:val="32"/>
                    </w:rPr>
                  </w:pPr>
                </w:p>
              </w:tc>
              <w:tc>
                <w:tcPr>
                  <w:tcW w:w="1701" w:type="dxa"/>
                  <w:vAlign w:val="center"/>
                </w:tcPr>
                <w:p>
                  <w:pPr>
                    <w:pStyle w:val="36"/>
                    <w:spacing w:line="240" w:lineRule="auto"/>
                    <w:ind w:firstLine="0" w:firstLineChars="0"/>
                    <w:jc w:val="center"/>
                    <w:rPr>
                      <w:rStyle w:val="32"/>
                    </w:rPr>
                  </w:pPr>
                  <w:r>
                    <w:rPr>
                      <w:rStyle w:val="32"/>
                    </w:rPr>
                    <w:t>排水</w:t>
                  </w:r>
                </w:p>
              </w:tc>
              <w:tc>
                <w:tcPr>
                  <w:tcW w:w="5527" w:type="dxa"/>
                  <w:gridSpan w:val="2"/>
                </w:tcPr>
                <w:p>
                  <w:pPr>
                    <w:pStyle w:val="36"/>
                    <w:spacing w:line="240" w:lineRule="auto"/>
                    <w:ind w:firstLine="0" w:firstLineChars="0"/>
                    <w:jc w:val="left"/>
                    <w:rPr>
                      <w:rStyle w:val="32"/>
                    </w:rPr>
                  </w:pPr>
                  <w:r>
                    <w:rPr>
                      <w:rStyle w:val="32"/>
                      <w:rFonts w:hint="eastAsia"/>
                    </w:rPr>
                    <w:t>本项目无生产废水排放，不产生设备及地面冲洗水。</w:t>
                  </w:r>
                </w:p>
                <w:p>
                  <w:pPr>
                    <w:pStyle w:val="36"/>
                    <w:spacing w:line="240" w:lineRule="auto"/>
                    <w:ind w:firstLine="0" w:firstLineChars="0"/>
                    <w:jc w:val="left"/>
                  </w:pPr>
                  <w:r>
                    <w:rPr>
                      <w:rStyle w:val="32"/>
                    </w:rPr>
                    <w:t>生活</w:t>
                  </w:r>
                  <w:r>
                    <w:rPr>
                      <w:rStyle w:val="32"/>
                      <w:rFonts w:hint="eastAsia"/>
                    </w:rPr>
                    <w:t>污水排入旱厕，由环卫部门定期清淘收集。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pStyle w:val="36"/>
                    <w:spacing w:line="240" w:lineRule="auto"/>
                    <w:ind w:firstLine="0" w:firstLineChars="0"/>
                    <w:jc w:val="center"/>
                    <w:rPr>
                      <w:rStyle w:val="32"/>
                    </w:rPr>
                  </w:pPr>
                </w:p>
              </w:tc>
              <w:tc>
                <w:tcPr>
                  <w:tcW w:w="1701" w:type="dxa"/>
                  <w:vAlign w:val="center"/>
                </w:tcPr>
                <w:p>
                  <w:pPr>
                    <w:pStyle w:val="36"/>
                    <w:spacing w:line="240" w:lineRule="auto"/>
                    <w:ind w:firstLine="0" w:firstLineChars="0"/>
                    <w:jc w:val="center"/>
                    <w:rPr>
                      <w:rStyle w:val="32"/>
                    </w:rPr>
                  </w:pPr>
                  <w:r>
                    <w:rPr>
                      <w:rStyle w:val="32"/>
                    </w:rPr>
                    <w:t>供电</w:t>
                  </w:r>
                </w:p>
              </w:tc>
              <w:tc>
                <w:tcPr>
                  <w:tcW w:w="5527" w:type="dxa"/>
                  <w:gridSpan w:val="2"/>
                </w:tcPr>
                <w:p>
                  <w:pPr>
                    <w:pStyle w:val="36"/>
                    <w:spacing w:line="240" w:lineRule="auto"/>
                    <w:ind w:firstLine="0" w:firstLineChars="0"/>
                    <w:jc w:val="left"/>
                    <w:rPr>
                      <w:rStyle w:val="32"/>
                    </w:rPr>
                  </w:pPr>
                  <w:r>
                    <w:rPr>
                      <w:rStyle w:val="32"/>
                    </w:rPr>
                    <w:t>项目年用电量为</w:t>
                  </w:r>
                  <w:r>
                    <w:rPr>
                      <w:rStyle w:val="32"/>
                      <w:rFonts w:hint="eastAsia"/>
                    </w:rPr>
                    <w:t>60万</w:t>
                  </w:r>
                  <w:r>
                    <w:rPr>
                      <w:rStyle w:val="32"/>
                    </w:rPr>
                    <w:t>kwh，由当地电网提供。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restart"/>
                  <w:vAlign w:val="center"/>
                </w:tcPr>
                <w:p>
                  <w:pPr>
                    <w:pStyle w:val="36"/>
                    <w:spacing w:line="240" w:lineRule="auto"/>
                    <w:ind w:firstLine="0" w:firstLineChars="0"/>
                    <w:jc w:val="center"/>
                    <w:rPr>
                      <w:rStyle w:val="32"/>
                    </w:rPr>
                  </w:pPr>
                  <w:r>
                    <w:rPr>
                      <w:rStyle w:val="32"/>
                    </w:rPr>
                    <w:t>环保工程</w:t>
                  </w:r>
                </w:p>
              </w:tc>
              <w:tc>
                <w:tcPr>
                  <w:tcW w:w="1701" w:type="dxa"/>
                  <w:vAlign w:val="center"/>
                </w:tcPr>
                <w:p>
                  <w:pPr>
                    <w:pStyle w:val="36"/>
                    <w:spacing w:line="240" w:lineRule="auto"/>
                    <w:ind w:firstLine="0" w:firstLineChars="0"/>
                    <w:jc w:val="center"/>
                    <w:rPr>
                      <w:rStyle w:val="32"/>
                    </w:rPr>
                  </w:pPr>
                  <w:r>
                    <w:rPr>
                      <w:rStyle w:val="32"/>
                    </w:rPr>
                    <w:t>废气治理</w:t>
                  </w:r>
                </w:p>
              </w:tc>
              <w:tc>
                <w:tcPr>
                  <w:tcW w:w="4253" w:type="dxa"/>
                </w:tcPr>
                <w:p>
                  <w:pPr>
                    <w:pStyle w:val="36"/>
                    <w:spacing w:line="240" w:lineRule="auto"/>
                    <w:ind w:firstLine="0" w:firstLineChars="0"/>
                    <w:jc w:val="left"/>
                    <w:rPr>
                      <w:rStyle w:val="32"/>
                    </w:rPr>
                  </w:pPr>
                  <w:r>
                    <w:rPr>
                      <w:rStyle w:val="32"/>
                      <w:rFonts w:hint="eastAsia"/>
                    </w:rPr>
                    <w:t>生产车间全封闭，配料、搅拌、脱模干燥过程中产生的废气进行负压收集，布袋除尘器除尘，活性炭吸附后，经</w:t>
                  </w:r>
                  <w:r>
                    <w:rPr>
                      <w:rStyle w:val="32"/>
                    </w:rPr>
                    <w:t>15m排气筒排放</w:t>
                  </w:r>
                </w:p>
              </w:tc>
              <w:tc>
                <w:tcPr>
                  <w:tcW w:w="1274" w:type="dxa"/>
                  <w:vAlign w:val="center"/>
                </w:tcPr>
                <w:p>
                  <w:pPr>
                    <w:pStyle w:val="36"/>
                    <w:spacing w:line="240" w:lineRule="auto"/>
                    <w:ind w:firstLine="0" w:firstLineChars="0"/>
                    <w:jc w:val="center"/>
                    <w:rPr>
                      <w:rStyle w:val="32"/>
                    </w:rPr>
                  </w:pPr>
                  <w:r>
                    <w:rPr>
                      <w:rStyle w:val="32"/>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pStyle w:val="36"/>
                    <w:spacing w:line="240" w:lineRule="auto"/>
                    <w:ind w:firstLine="0" w:firstLineChars="0"/>
                    <w:jc w:val="center"/>
                    <w:rPr>
                      <w:rStyle w:val="32"/>
                    </w:rPr>
                  </w:pPr>
                </w:p>
              </w:tc>
              <w:tc>
                <w:tcPr>
                  <w:tcW w:w="1701" w:type="dxa"/>
                  <w:vAlign w:val="center"/>
                </w:tcPr>
                <w:p>
                  <w:pPr>
                    <w:pStyle w:val="36"/>
                    <w:spacing w:line="240" w:lineRule="auto"/>
                    <w:ind w:firstLine="0" w:firstLineChars="0"/>
                    <w:jc w:val="center"/>
                    <w:rPr>
                      <w:rStyle w:val="32"/>
                    </w:rPr>
                  </w:pPr>
                  <w:r>
                    <w:rPr>
                      <w:rStyle w:val="32"/>
                    </w:rPr>
                    <w:t>废水治理</w:t>
                  </w:r>
                </w:p>
              </w:tc>
              <w:tc>
                <w:tcPr>
                  <w:tcW w:w="4253" w:type="dxa"/>
                </w:tcPr>
                <w:p>
                  <w:pPr>
                    <w:pStyle w:val="36"/>
                    <w:spacing w:line="240" w:lineRule="auto"/>
                    <w:ind w:firstLine="0" w:firstLineChars="0"/>
                    <w:jc w:val="left"/>
                    <w:rPr>
                      <w:rStyle w:val="32"/>
                    </w:rPr>
                  </w:pPr>
                  <w:r>
                    <w:rPr>
                      <w:rStyle w:val="32"/>
                    </w:rPr>
                    <w:t>少量生活污水</w:t>
                  </w:r>
                  <w:r>
                    <w:rPr>
                      <w:rStyle w:val="32"/>
                      <w:rFonts w:hint="eastAsia"/>
                    </w:rPr>
                    <w:t>排入旱厕</w:t>
                  </w:r>
                  <w:r>
                    <w:rPr>
                      <w:rStyle w:val="32"/>
                    </w:rPr>
                    <w:t>，委托环卫部门定期清掏处理</w:t>
                  </w:r>
                </w:p>
              </w:tc>
              <w:tc>
                <w:tcPr>
                  <w:tcW w:w="1274" w:type="dxa"/>
                  <w:vAlign w:val="center"/>
                </w:tcPr>
                <w:p>
                  <w:pPr>
                    <w:pStyle w:val="36"/>
                    <w:spacing w:line="240" w:lineRule="auto"/>
                    <w:ind w:firstLine="0" w:firstLineChars="0"/>
                    <w:jc w:val="center"/>
                    <w:rPr>
                      <w:rStyle w:val="32"/>
                    </w:rPr>
                  </w:pPr>
                  <w:r>
                    <w:rPr>
                      <w:rStyle w:val="32"/>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pStyle w:val="36"/>
                    <w:spacing w:line="240" w:lineRule="auto"/>
                    <w:ind w:firstLine="0" w:firstLineChars="0"/>
                    <w:jc w:val="center"/>
                    <w:rPr>
                      <w:rStyle w:val="32"/>
                    </w:rPr>
                  </w:pPr>
                </w:p>
              </w:tc>
              <w:tc>
                <w:tcPr>
                  <w:tcW w:w="1701" w:type="dxa"/>
                  <w:vAlign w:val="center"/>
                </w:tcPr>
                <w:p>
                  <w:pPr>
                    <w:pStyle w:val="36"/>
                    <w:spacing w:line="240" w:lineRule="auto"/>
                    <w:ind w:firstLine="0" w:firstLineChars="0"/>
                    <w:jc w:val="center"/>
                    <w:rPr>
                      <w:rStyle w:val="32"/>
                    </w:rPr>
                  </w:pPr>
                  <w:r>
                    <w:rPr>
                      <w:rStyle w:val="32"/>
                    </w:rPr>
                    <w:t>噪声治理</w:t>
                  </w:r>
                </w:p>
              </w:tc>
              <w:tc>
                <w:tcPr>
                  <w:tcW w:w="4253" w:type="dxa"/>
                </w:tcPr>
                <w:p>
                  <w:pPr>
                    <w:pStyle w:val="36"/>
                    <w:spacing w:line="240" w:lineRule="auto"/>
                    <w:ind w:firstLine="0" w:firstLineChars="0"/>
                    <w:jc w:val="left"/>
                    <w:rPr>
                      <w:rStyle w:val="32"/>
                    </w:rPr>
                  </w:pPr>
                  <w:r>
                    <w:rPr>
                      <w:rStyle w:val="32"/>
                    </w:rPr>
                    <w:t>选用低噪声设备，</w:t>
                  </w:r>
                  <w:r>
                    <w:rPr>
                      <w:rStyle w:val="32"/>
                      <w:rFonts w:hint="eastAsia"/>
                    </w:rPr>
                    <w:t>设备全部安装在厂房内，</w:t>
                  </w:r>
                  <w:r>
                    <w:rPr>
                      <w:rStyle w:val="32"/>
                    </w:rPr>
                    <w:t>对设备进行基础减振，门窗封闭隔声处理</w:t>
                  </w:r>
                  <w:r>
                    <w:rPr>
                      <w:rStyle w:val="32"/>
                      <w:rFonts w:hint="eastAsia"/>
                    </w:rPr>
                    <w:t>，厂房外设减振沟</w:t>
                  </w:r>
                </w:p>
              </w:tc>
              <w:tc>
                <w:tcPr>
                  <w:tcW w:w="1274" w:type="dxa"/>
                  <w:vAlign w:val="center"/>
                </w:tcPr>
                <w:p>
                  <w:pPr>
                    <w:pStyle w:val="36"/>
                    <w:spacing w:line="240" w:lineRule="auto"/>
                    <w:ind w:firstLine="0" w:firstLineChars="0"/>
                    <w:jc w:val="center"/>
                    <w:rPr>
                      <w:rStyle w:val="32"/>
                    </w:rPr>
                  </w:pPr>
                  <w:r>
                    <w:rPr>
                      <w:rStyle w:val="32"/>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jc w:val="center"/>
                    <w:rPr>
                      <w:rFonts w:eastAsia="宋体"/>
                      <w:sz w:val="21"/>
                      <w:szCs w:val="21"/>
                    </w:rPr>
                  </w:pPr>
                </w:p>
              </w:tc>
              <w:tc>
                <w:tcPr>
                  <w:tcW w:w="1701" w:type="dxa"/>
                  <w:vMerge w:val="restart"/>
                  <w:vAlign w:val="center"/>
                </w:tcPr>
                <w:p>
                  <w:pPr>
                    <w:pStyle w:val="36"/>
                    <w:spacing w:line="240" w:lineRule="auto"/>
                    <w:ind w:firstLine="0" w:firstLineChars="0"/>
                    <w:jc w:val="center"/>
                    <w:rPr>
                      <w:rStyle w:val="32"/>
                    </w:rPr>
                  </w:pPr>
                  <w:r>
                    <w:rPr>
                      <w:rStyle w:val="32"/>
                    </w:rPr>
                    <w:t>固体废物</w:t>
                  </w:r>
                </w:p>
              </w:tc>
              <w:tc>
                <w:tcPr>
                  <w:tcW w:w="4253" w:type="dxa"/>
                </w:tcPr>
                <w:p>
                  <w:pPr>
                    <w:pStyle w:val="36"/>
                    <w:spacing w:line="240" w:lineRule="auto"/>
                    <w:ind w:firstLine="0" w:firstLineChars="0"/>
                    <w:jc w:val="left"/>
                    <w:rPr>
                      <w:rStyle w:val="32"/>
                    </w:rPr>
                  </w:pPr>
                  <w:r>
                    <w:rPr>
                      <w:rStyle w:val="32"/>
                    </w:rPr>
                    <w:t>生产过程中产生的废边角料统一收集</w:t>
                  </w:r>
                  <w:r>
                    <w:rPr>
                      <w:rStyle w:val="32"/>
                      <w:rFonts w:hint="eastAsia"/>
                    </w:rPr>
                    <w:t>回用</w:t>
                  </w:r>
                </w:p>
              </w:tc>
              <w:tc>
                <w:tcPr>
                  <w:tcW w:w="1274" w:type="dxa"/>
                  <w:vAlign w:val="center"/>
                </w:tcPr>
                <w:p>
                  <w:pPr>
                    <w:pStyle w:val="36"/>
                    <w:spacing w:line="240" w:lineRule="auto"/>
                    <w:ind w:firstLine="0" w:firstLineChars="0"/>
                    <w:jc w:val="center"/>
                    <w:rPr>
                      <w:rStyle w:val="32"/>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jc w:val="center"/>
                    <w:rPr>
                      <w:rFonts w:eastAsia="宋体"/>
                      <w:sz w:val="21"/>
                      <w:szCs w:val="21"/>
                    </w:rPr>
                  </w:pPr>
                </w:p>
              </w:tc>
              <w:tc>
                <w:tcPr>
                  <w:tcW w:w="1701" w:type="dxa"/>
                  <w:vMerge w:val="continue"/>
                  <w:vAlign w:val="center"/>
                </w:tcPr>
                <w:p>
                  <w:pPr>
                    <w:pStyle w:val="36"/>
                    <w:spacing w:line="240" w:lineRule="auto"/>
                    <w:ind w:firstLine="0" w:firstLineChars="0"/>
                    <w:jc w:val="center"/>
                    <w:rPr>
                      <w:rStyle w:val="32"/>
                    </w:rPr>
                  </w:pPr>
                </w:p>
              </w:tc>
              <w:tc>
                <w:tcPr>
                  <w:tcW w:w="4253" w:type="dxa"/>
                </w:tcPr>
                <w:p>
                  <w:pPr>
                    <w:pStyle w:val="36"/>
                    <w:spacing w:line="240" w:lineRule="auto"/>
                    <w:ind w:firstLine="0" w:firstLineChars="0"/>
                    <w:jc w:val="left"/>
                    <w:rPr>
                      <w:rStyle w:val="32"/>
                    </w:rPr>
                  </w:pPr>
                  <w:r>
                    <w:rPr>
                      <w:rStyle w:val="32"/>
                    </w:rPr>
                    <w:t>除尘系统收集的粉尘定期清理后</w:t>
                  </w:r>
                  <w:r>
                    <w:rPr>
                      <w:rStyle w:val="32"/>
                      <w:rFonts w:hint="eastAsia"/>
                    </w:rPr>
                    <w:t>回用</w:t>
                  </w:r>
                </w:p>
              </w:tc>
              <w:tc>
                <w:tcPr>
                  <w:tcW w:w="1274" w:type="dxa"/>
                  <w:vAlign w:val="center"/>
                </w:tcPr>
                <w:p>
                  <w:pPr>
                    <w:pStyle w:val="36"/>
                    <w:spacing w:line="240" w:lineRule="auto"/>
                    <w:ind w:firstLine="0" w:firstLineChars="0"/>
                    <w:jc w:val="center"/>
                    <w:rPr>
                      <w:rStyle w:val="32"/>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6" w:type="dxa"/>
                  <w:vMerge w:val="continue"/>
                  <w:vAlign w:val="center"/>
                </w:tcPr>
                <w:p>
                  <w:pPr>
                    <w:jc w:val="center"/>
                    <w:rPr>
                      <w:rFonts w:eastAsia="宋体"/>
                      <w:sz w:val="21"/>
                      <w:szCs w:val="21"/>
                    </w:rPr>
                  </w:pPr>
                </w:p>
              </w:tc>
              <w:tc>
                <w:tcPr>
                  <w:tcW w:w="1701" w:type="dxa"/>
                  <w:vMerge w:val="continue"/>
                  <w:vAlign w:val="center"/>
                </w:tcPr>
                <w:p>
                  <w:pPr>
                    <w:pStyle w:val="36"/>
                    <w:spacing w:line="240" w:lineRule="auto"/>
                    <w:ind w:firstLine="0" w:firstLineChars="0"/>
                    <w:jc w:val="center"/>
                    <w:rPr>
                      <w:rStyle w:val="32"/>
                    </w:rPr>
                  </w:pPr>
                </w:p>
              </w:tc>
              <w:tc>
                <w:tcPr>
                  <w:tcW w:w="4253" w:type="dxa"/>
                </w:tcPr>
                <w:p>
                  <w:pPr>
                    <w:pStyle w:val="36"/>
                    <w:spacing w:line="240" w:lineRule="auto"/>
                    <w:ind w:firstLine="0" w:firstLineChars="0"/>
                    <w:jc w:val="left"/>
                    <w:rPr>
                      <w:rStyle w:val="32"/>
                    </w:rPr>
                  </w:pPr>
                  <w:r>
                    <w:rPr>
                      <w:rStyle w:val="32"/>
                      <w:rFonts w:hint="eastAsia"/>
                    </w:rPr>
                    <w:t>废胶桶、废活性炭、废液压油为危险废物，在危废暂存间临时存放，定期交有资质单位处置</w:t>
                  </w:r>
                </w:p>
              </w:tc>
              <w:tc>
                <w:tcPr>
                  <w:tcW w:w="1274" w:type="dxa"/>
                  <w:vAlign w:val="center"/>
                </w:tcPr>
                <w:p>
                  <w:pPr>
                    <w:pStyle w:val="36"/>
                    <w:spacing w:line="240" w:lineRule="auto"/>
                    <w:ind w:firstLine="0" w:firstLineChars="0"/>
                    <w:jc w:val="center"/>
                    <w:rPr>
                      <w:rStyle w:val="32"/>
                    </w:rPr>
                  </w:pPr>
                </w:p>
              </w:tc>
            </w:tr>
          </w:tbl>
          <w:p>
            <w:pPr>
              <w:pStyle w:val="36"/>
              <w:spacing w:line="360" w:lineRule="auto"/>
              <w:ind w:firstLine="482"/>
              <w:rPr>
                <w:rFonts w:ascii="宋体" w:hAnsi="宋体"/>
                <w:b/>
                <w:szCs w:val="24"/>
              </w:rPr>
            </w:pPr>
          </w:p>
          <w:p>
            <w:pPr>
              <w:pStyle w:val="36"/>
              <w:spacing w:line="360" w:lineRule="auto"/>
              <w:ind w:firstLine="482"/>
              <w:rPr>
                <w:rFonts w:ascii="宋体" w:hAnsi="宋体"/>
                <w:b/>
                <w:szCs w:val="24"/>
              </w:rPr>
            </w:pPr>
            <w:r>
              <w:rPr>
                <w:rFonts w:hint="eastAsia" w:ascii="宋体" w:hAnsi="宋体"/>
                <w:b/>
                <w:szCs w:val="24"/>
              </w:rPr>
              <w:t>3</w:t>
            </w:r>
            <w:r>
              <w:rPr>
                <w:rFonts w:ascii="宋体" w:hAnsi="宋体"/>
                <w:b/>
                <w:szCs w:val="24"/>
              </w:rPr>
              <w:t>.</w:t>
            </w:r>
            <w:r>
              <w:rPr>
                <w:rFonts w:hint="eastAsia" w:ascii="宋体" w:hAnsi="宋体"/>
                <w:b/>
                <w:szCs w:val="24"/>
              </w:rPr>
              <w:t>主要建筑物及总平面布置</w:t>
            </w:r>
          </w:p>
          <w:p>
            <w:pPr>
              <w:pStyle w:val="36"/>
              <w:spacing w:line="360" w:lineRule="auto"/>
              <w:ind w:firstLine="480"/>
              <w:rPr>
                <w:bCs/>
              </w:rPr>
            </w:pPr>
            <w:r>
              <w:rPr>
                <w:rFonts w:hint="eastAsia" w:ascii="宋体" w:hAnsi="宋体"/>
                <w:bCs/>
              </w:rPr>
              <w:t>建设项目租赁锦州低压变压器厂区内现有厂房，占地面积600平方米，建筑</w:t>
            </w:r>
            <w:r>
              <w:rPr>
                <w:rFonts w:ascii="宋体" w:hAnsi="宋体"/>
                <w:bCs/>
              </w:rPr>
              <w:t>面积</w:t>
            </w:r>
            <w:r>
              <w:rPr>
                <w:rFonts w:hint="eastAsia" w:ascii="宋体" w:hAnsi="宋体"/>
                <w:bCs/>
              </w:rPr>
              <w:t>1600平</w:t>
            </w:r>
            <w:r>
              <w:rPr>
                <w:rFonts w:ascii="宋体" w:hAnsi="宋体"/>
                <w:bCs/>
              </w:rPr>
              <w:t>方米，三层</w:t>
            </w:r>
            <w:r>
              <w:rPr>
                <w:rFonts w:hint="eastAsia" w:ascii="宋体" w:hAnsi="宋体"/>
                <w:bCs/>
              </w:rPr>
              <w:t>，一</w:t>
            </w:r>
            <w:r>
              <w:rPr>
                <w:rFonts w:ascii="宋体" w:hAnsi="宋体"/>
                <w:bCs/>
              </w:rPr>
              <w:t>层为生产区和仓</w:t>
            </w:r>
            <w:r>
              <w:rPr>
                <w:rFonts w:hint="eastAsia" w:ascii="宋体" w:hAnsi="宋体"/>
                <w:bCs/>
              </w:rPr>
              <w:t>储</w:t>
            </w:r>
            <w:r>
              <w:rPr>
                <w:rFonts w:ascii="宋体" w:hAnsi="宋体"/>
                <w:bCs/>
              </w:rPr>
              <w:t>区，二层以上为办公区及休息区。</w:t>
            </w:r>
            <w:r>
              <w:rPr>
                <w:rFonts w:hint="eastAsia"/>
                <w:bCs/>
              </w:rPr>
              <w:t>厂房</w:t>
            </w:r>
            <w:r>
              <w:rPr>
                <w:rFonts w:hint="eastAsia" w:ascii="宋体" w:hAnsi="宋体"/>
                <w:bCs/>
              </w:rPr>
              <w:t>生产</w:t>
            </w:r>
            <w:r>
              <w:rPr>
                <w:rFonts w:ascii="宋体" w:hAnsi="宋体"/>
                <w:bCs/>
              </w:rPr>
              <w:t>区</w:t>
            </w:r>
            <w:r>
              <w:rPr>
                <w:rFonts w:hint="eastAsia"/>
                <w:bCs/>
              </w:rPr>
              <w:t>平面布置详见下图：</w:t>
            </w:r>
          </w:p>
          <w:p>
            <w:r>
              <w:rPr>
                <w:rFonts w:hint="eastAsia"/>
              </w:rPr>
              <mc:AlternateContent>
                <mc:Choice Requires="wpc">
                  <w:drawing>
                    <wp:inline distT="0" distB="0" distL="0" distR="0">
                      <wp:extent cx="5486400" cy="2676525"/>
                      <wp:effectExtent l="0" t="0" r="19050" b="28575"/>
                      <wp:docPr id="9" name="画布 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solidFill>
                                  <a:schemeClr val="tx1"/>
                                </a:solidFill>
                              </a:ln>
                            </wpc:whole>
                            <wps:wsp>
                              <wps:cNvPr id="10" name="矩形 10"/>
                              <wps:cNvSpPr/>
                              <wps:spPr>
                                <a:xfrm>
                                  <a:off x="66675" y="85724"/>
                                  <a:ext cx="1390650" cy="1362075"/>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仓储区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直接连接符 12"/>
                              <wps:cNvCnPr/>
                              <wps:spPr>
                                <a:xfrm>
                                  <a:off x="2409825" y="0"/>
                                  <a:ext cx="0" cy="34290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 name="直接连接符 13"/>
                              <wps:cNvCnPr/>
                              <wps:spPr>
                                <a:xfrm>
                                  <a:off x="3057525" y="9523"/>
                                  <a:ext cx="9525" cy="38100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6" name="曲线连接符 16"/>
                              <wps:cNvCnPr/>
                              <wps:spPr>
                                <a:xfrm flipH="1">
                                  <a:off x="2419350" y="38100"/>
                                  <a:ext cx="333375" cy="295275"/>
                                </a:xfrm>
                                <a:prstGeom prst="curvedConnector3">
                                  <a:avLst>
                                    <a:gd name="adj1" fmla="val 10000"/>
                                  </a:avLst>
                                </a:prstGeom>
                              </wps:spPr>
                              <wps:style>
                                <a:lnRef idx="1">
                                  <a:schemeClr val="accent1"/>
                                </a:lnRef>
                                <a:fillRef idx="0">
                                  <a:schemeClr val="accent1"/>
                                </a:fillRef>
                                <a:effectRef idx="0">
                                  <a:schemeClr val="accent1"/>
                                </a:effectRef>
                                <a:fontRef idx="minor">
                                  <a:schemeClr val="tx1"/>
                                </a:fontRef>
                              </wps:style>
                              <wps:bodyPr/>
                            </wps:wsp>
                            <wps:wsp>
                              <wps:cNvPr id="17" name="曲线连接符 17"/>
                              <wps:cNvCnPr/>
                              <wps:spPr>
                                <a:xfrm rot="16200000" flipH="1">
                                  <a:off x="2724150" y="38100"/>
                                  <a:ext cx="361952" cy="304798"/>
                                </a:xfrm>
                                <a:prstGeom prst="curvedConnector3">
                                  <a:avLst>
                                    <a:gd name="adj1" fmla="val 76316"/>
                                  </a:avLst>
                                </a:prstGeom>
                              </wps:spPr>
                              <wps:style>
                                <a:lnRef idx="1">
                                  <a:schemeClr val="accent1"/>
                                </a:lnRef>
                                <a:fillRef idx="0">
                                  <a:schemeClr val="accent1"/>
                                </a:fillRef>
                                <a:effectRef idx="0">
                                  <a:schemeClr val="accent1"/>
                                </a:effectRef>
                                <a:fontRef idx="minor">
                                  <a:schemeClr val="tx1"/>
                                </a:fontRef>
                              </wps:style>
                              <wps:bodyPr/>
                            </wps:wsp>
                            <wps:wsp>
                              <wps:cNvPr id="18" name="矩形 18"/>
                              <wps:cNvSpPr/>
                              <wps:spPr>
                                <a:xfrm>
                                  <a:off x="57150" y="1600200"/>
                                  <a:ext cx="4552950" cy="89535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生产区</w:t>
                                    </w:r>
                                  </w:p>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矩形 19"/>
                              <wps:cNvSpPr/>
                              <wps:spPr>
                                <a:xfrm>
                                  <a:off x="4800599" y="1866900"/>
                                  <a:ext cx="638175" cy="62865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exact"/>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布袋除尘</w:t>
                                    </w:r>
                                    <w:r>
                                      <w:rPr>
                                        <w:rFonts w:asciiTheme="minorEastAsia" w:hAnsiTheme="minorEastAsia" w:eastAsiaTheme="minorEastAsia"/>
                                        <w:color w:val="000000" w:themeColor="text1"/>
                                        <w:sz w:val="21"/>
                                        <w:szCs w:val="21"/>
                                        <w14:textFill>
                                          <w14:solidFill>
                                            <w14:schemeClr w14:val="tx1"/>
                                          </w14:solidFill>
                                        </w14:textFill>
                                      </w:rPr>
                                      <w:t>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矩形 20"/>
                              <wps:cNvSpPr/>
                              <wps:spPr>
                                <a:xfrm>
                                  <a:off x="4448175" y="66675"/>
                                  <a:ext cx="952499" cy="457199"/>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危废暂</w:t>
                                    </w:r>
                                    <w:r>
                                      <w:rPr>
                                        <w:rFonts w:asciiTheme="minorEastAsia" w:hAnsiTheme="minorEastAsia" w:eastAsiaTheme="minorEastAsia"/>
                                        <w:color w:val="000000" w:themeColor="text1"/>
                                        <w:sz w:val="21"/>
                                        <w:szCs w:val="21"/>
                                        <w14:textFill>
                                          <w14:solidFill>
                                            <w14:schemeClr w14:val="tx1"/>
                                          </w14:solidFill>
                                        </w14:textFill>
                                      </w:rPr>
                                      <w:t>存间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3" name="矩形 23"/>
                              <wps:cNvSpPr/>
                              <wps:spPr>
                                <a:xfrm>
                                  <a:off x="95250" y="1981200"/>
                                  <a:ext cx="476250" cy="41910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上料</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直接箭头连接符 24"/>
                              <wps:cNvCnPr>
                                <a:stCxn id="23" idx="3"/>
                                <a:endCxn id="25" idx="1"/>
                              </wps:cNvCnPr>
                              <wps:spPr>
                                <a:xfrm>
                                  <a:off x="571500" y="2190750"/>
                                  <a:ext cx="33337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5" name="矩形 25"/>
                              <wps:cNvSpPr/>
                              <wps:spPr>
                                <a:xfrm>
                                  <a:off x="904876" y="1981200"/>
                                  <a:ext cx="476250" cy="41910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搅拌</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1704975" y="1981200"/>
                                  <a:ext cx="657225" cy="41910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油压</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直接箭头连接符 28"/>
                              <wps:cNvCnPr>
                                <a:stCxn id="27" idx="3"/>
                              </wps:cNvCnPr>
                              <wps:spPr>
                                <a:xfrm flipV="1">
                                  <a:off x="2362200" y="2190749"/>
                                  <a:ext cx="390525" cy="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9" name="矩形 29"/>
                              <wps:cNvSpPr/>
                              <wps:spPr>
                                <a:xfrm>
                                  <a:off x="2752725" y="1990726"/>
                                  <a:ext cx="657225" cy="41910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脱模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 name="直接箭头连接符 30"/>
                              <wps:cNvCnPr>
                                <a:stCxn id="25" idx="3"/>
                                <a:endCxn id="27" idx="1"/>
                              </wps:cNvCnPr>
                              <wps:spPr>
                                <a:xfrm>
                                  <a:off x="1381126" y="2190750"/>
                                  <a:ext cx="32384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1" name="直接箭头连接符 31"/>
                              <wps:cNvCnPr/>
                              <wps:spPr>
                                <a:xfrm flipV="1">
                                  <a:off x="3409950" y="2181225"/>
                                  <a:ext cx="390525" cy="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2" name="矩形 32"/>
                              <wps:cNvSpPr/>
                              <wps:spPr>
                                <a:xfrm>
                                  <a:off x="3800475" y="1981200"/>
                                  <a:ext cx="657225" cy="419100"/>
                                </a:xfrm>
                                <a:prstGeom prst="rect">
                                  <a:avLst/>
                                </a:prstGeom>
                                <a:noFill/>
                                <a:ln w="9525"/>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风干</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w:pict>
                    <v:group id="_x0000_s1026" o:spid="_x0000_s1026" o:spt="203" style="height:210.75pt;width:432pt;" coordsize="5486400,2676525" editas="canvas" o:gfxdata="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">
                      <o:lock v:ext="edit" aspectratio="f"/>
                      <v:shape id="_x0000_s1026" o:spid="_x0000_s1026" style="position:absolute;left:0;top:0;height:2676525;width:5486400;" filled="f" stroked="t" coordsize="21600,21600" o:gfxdata="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">
                        <v:fill on="f" focussize="0,0"/>
                        <v:stroke color="#000000 [3213]" joinstyle="round"/>
                        <v:imagedata o:title=""/>
                        <o:lock v:ext="edit" aspectratio="t"/>
                      </v:shape>
                      <v:rect id="_x0000_s1026" o:spid="_x0000_s1026" o:spt="1" style="position:absolute;left:66675;top:85724;height:1362075;width:1390650;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XS9Vd1QAAAAUBAAAPAAAAAAAAAAEAIAAAACIAAABkcnMvZG93bnJldi54bWxQSwECFAAUAAAA&#10;CACHTuJAR41lrGMCAACcBAAADgAAAAAAAAABACAAAAAkAQAAZHJzL2Uyb0RvYy54bWxQSwUGAAAA&#10;AAYABgBZAQAA+QU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仓储区</w:t>
                              </w:r>
                            </w:p>
                          </w:txbxContent>
                        </v:textbox>
                      </v:rect>
                      <v:line id="_x0000_s1026" o:spid="_x0000_s1026" o:spt="20" style="position:absolute;left:2409825;top:0;height:342900;width:0;" filled="f" stroked="t" coordsize="21600,21600" o:gfxdata="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cvKY9NYAAAAFAQAA&#10;DwAAAAAAAAABACAAAAAiAAAAZHJzL2Rvd25yZXYueG1sUEsBAhQAFAAAAAgAh07iQI2YnLTiAQAA&#10;jAMAAA4AAAAAAAAAAQAgAAAAJQEAAGRycy9lMm9Eb2MueG1sUEsFBgAAAAAGAAYAWQEAAHkFAAAA&#10;AA==&#10;">
                        <v:fill on="f" focussize="0,0"/>
                        <v:stroke color="#4A7EBB [3204]" joinstyle="round"/>
                        <v:imagedata o:title=""/>
                        <o:lock v:ext="edit" aspectratio="f"/>
                      </v:line>
                      <v:line id="_x0000_s1026" o:spid="_x0000_s1026" o:spt="20" style="position:absolute;left:3057525;top:9523;height:381002;width:9525;" filled="f" stroked="t" coordsize="21600,21600" o:gfxdata="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LymPTWAAAABQEA&#10;AA8AAAAAAAAAAQAgAAAAIgAAAGRycy9kb3ducmV2LnhtbFBLAQIUABQAAAAIAIdO4kDzKIUF4wEA&#10;AJIDAAAOAAAAAAAAAAEAIAAAACUBAABkcnMvZTJvRG9jLnhtbFBLBQYAAAAABgAGAFkBAAB6BQAA&#10;AAA=&#10;">
                        <v:fill on="f" focussize="0,0"/>
                        <v:stroke color="#4A7EBB [3204]" joinstyle="round"/>
                        <v:imagedata o:title=""/>
                        <o:lock v:ext="edit" aspectratio="f"/>
                      </v:line>
                      <v:shape id="_x0000_s1026" o:spid="_x0000_s1026" o:spt="38" type="#_x0000_t38" style="position:absolute;left:2419350;top:38100;flip:x;height:295275;width:333375;" filled="f" stroked="t" coordsize="21600,21600" o:gfxdata="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zJZcj0wAAAAUBAAAPAAAAAAAAAAEAIAAA&#10;ACIAAABkcnMvZG93bnJldi54bWxQSwECFAAUAAAACACHTuJA5Jw7JxECAADYAwAADgAAAAAAAAAB&#10;ACAAAAAiAQAAZHJzL2Uyb0RvYy54bWxQSwUGAAAAAAYABgBZAQAApQUAAAAA&#10;" adj="2160">
                        <v:fill on="f" focussize="0,0"/>
                        <v:stroke color="#4A7EBB [3204]" joinstyle="round"/>
                        <v:imagedata o:title=""/>
                        <o:lock v:ext="edit" aspectratio="f"/>
                      </v:shape>
                      <v:shape id="_x0000_s1026" o:spid="_x0000_s1026" o:spt="38" type="#_x0000_t38" style="position:absolute;left:2724150;top:38100;flip:x;height:304798;width:361952;rotation:5898240f;" filled="f" stroked="t" coordsize="21600,21600" o:gfxdata="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huBW/TAAAABQEAAA8A&#10;AAAAAAAAAQAgAAAAIgAAAGRycy9kb3ducmV2LnhtbFBLAQIUABQAAAAIAIdO4kB9bRO8HAIAAOcD&#10;AAAOAAAAAAAAAAEAIAAAACIBAABkcnMvZTJvRG9jLnhtbFBLBQYAAAAABgAGAFkBAACwBQAAAAA=&#10;" adj="16484">
                        <v:fill on="f" focussize="0,0"/>
                        <v:stroke color="#4A7EBB [3204]" joinstyle="round"/>
                        <v:imagedata o:title=""/>
                        <o:lock v:ext="edit" aspectratio="f"/>
                      </v:shape>
                      <v:rect id="_x0000_s1026" o:spid="_x0000_s1026" o:spt="1" style="position:absolute;left:57150;top:1600200;height:895350;width:4552950;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dL1V3VAAAABQEAAA8AAAAAAAAAAQAgAAAAIgAAAGRycy9kb3ducmV2LnhtbFBLAQIUABQAAAAI&#10;AIdO4kBbFXmKYgIAAJ0EAAAOAAAAAAAAAAEAIAAAACQBAABkcnMvZTJvRG9jLnhtbFBLBQYAAAAA&#10;BgAGAFkBAAD4BQ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生产区</w:t>
                              </w:r>
                            </w:p>
                            <w:p/>
                          </w:txbxContent>
                        </v:textbox>
                      </v:rect>
                      <v:rect id="_x0000_s1026" o:spid="_x0000_s1026" o:spt="1" style="position:absolute;left:4800599;top:1866900;height:628650;width:638175;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NdL1V3VAAAABQEAAA8AAAAAAAAAAQAgAAAAIgAAAGRycy9kb3ducmV2LnhtbFBLAQIUABQA&#10;AAAIAIdO4kAdD4WnZQIAAJ4EAAAOAAAAAAAAAAEAIAAAACQBAABkcnMvZTJvRG9jLnhtbFBLBQYA&#10;AAAABgAGAFkBAAD7BQAAAAA=&#10;">
                        <v:fill on="f" focussize="0,0"/>
                        <v:stroke color="#385D8A [3204]" joinstyle="round"/>
                        <v:imagedata o:title=""/>
                        <o:lock v:ext="edit" aspectratio="f"/>
                        <v:textbox>
                          <w:txbxContent>
                            <w:p>
                              <w:pPr>
                                <w:spacing w:line="240" w:lineRule="exact"/>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布袋除尘</w:t>
                              </w:r>
                              <w:r>
                                <w:rPr>
                                  <w:rFonts w:asciiTheme="minorEastAsia" w:hAnsiTheme="minorEastAsia" w:eastAsiaTheme="minorEastAsia"/>
                                  <w:color w:val="000000" w:themeColor="text1"/>
                                  <w:sz w:val="21"/>
                                  <w:szCs w:val="21"/>
                                  <w14:textFill>
                                    <w14:solidFill>
                                      <w14:schemeClr w14:val="tx1"/>
                                    </w14:solidFill>
                                  </w14:textFill>
                                </w:rPr>
                                <w:t>器</w:t>
                              </w:r>
                            </w:p>
                          </w:txbxContent>
                        </v:textbox>
                      </v:rect>
                      <v:rect id="_x0000_s1026" o:spid="_x0000_s1026" o:spt="1" style="position:absolute;left:4448175;top:66675;height:457199;width:952499;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NdL&#10;1V3VAAAABQEAAA8AAAAAAAAAAQAgAAAAIgAAAGRycy9kb3ducmV2LnhtbFBLAQIUABQAAAAIAIdO&#10;4kDZ8UVOXwIAAJwEAAAOAAAAAAAAAAEAIAAAACQBAABkcnMvZTJvRG9jLnhtbFBLBQYAAAAABgAG&#10;AFkBAAD1BQ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危废暂</w:t>
                              </w:r>
                              <w:r>
                                <w:rPr>
                                  <w:rFonts w:asciiTheme="minorEastAsia" w:hAnsiTheme="minorEastAsia" w:eastAsiaTheme="minorEastAsia"/>
                                  <w:color w:val="000000" w:themeColor="text1"/>
                                  <w:sz w:val="21"/>
                                  <w:szCs w:val="21"/>
                                  <w14:textFill>
                                    <w14:solidFill>
                                      <w14:schemeClr w14:val="tx1"/>
                                    </w14:solidFill>
                                  </w14:textFill>
                                </w:rPr>
                                <w:t>存间</w:t>
                              </w:r>
                            </w:p>
                          </w:txbxContent>
                        </v:textbox>
                      </v:rect>
                      <v:rect id="_x0000_s1026" o:spid="_x0000_s1026" o:spt="1" style="position:absolute;left:95250;top:1981200;height:419100;width:476250;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NdL&#10;1V3VAAAABQEAAA8AAAAAAAAAAQAgAAAAIgAAAGRycy9kb3ducmV2LnhtbFBLAQIUABQAAAAIAIdO&#10;4kDBZTqYXwIAAJwEAAAOAAAAAAAAAAEAIAAAACQBAABkcnMvZTJvRG9jLnhtbFBLBQYAAAAABgAG&#10;AFkBAAD1BQ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上料</w:t>
                              </w:r>
                            </w:p>
                          </w:txbxContent>
                        </v:textbox>
                      </v:rect>
                      <v:shape id="_x0000_s1026" o:spid="_x0000_s1026" o:spt="32" type="#_x0000_t32" style="position:absolute;left:571500;top:2190750;height:0;width:333376;" filled="f" stroked="t" coordsize="21600,21600" o:gfxdata="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FM4tbbW&#10;AAAABQEAAA8AAAAAAAAAAQAgAAAAIgAAAGRycy9kb3ducmV2LnhtbFBLAQIUABQAAAAIAIdO4kDH&#10;Z2loIgIAAAMEAAAOAAAAAAAAAAEAIAAAACUBAABkcnMvZTJvRG9jLnhtbFBLBQYAAAAABgAGAFkB&#10;AAC5BQAAAAA=&#10;">
                        <v:fill on="f" focussize="0,0"/>
                        <v:stroke color="#4A7EBB [3204]" joinstyle="round" endarrow="block"/>
                        <v:imagedata o:title=""/>
                        <o:lock v:ext="edit" aspectratio="f"/>
                      </v:shape>
                      <v:rect id="_x0000_s1026" o:spid="_x0000_s1026" o:spt="1" style="position:absolute;left:904876;top:1981200;height:419100;width:476250;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10vVXdUAAAAFAQAADwAAAAAAAAABACAAAAAiAAAAZHJzL2Rvd25yZXYueG1sUEsBAhQAFAAA&#10;AAgAh07iQDUk9ptkAgAAnQQAAA4AAAAAAAAAAQAgAAAAJAEAAGRycy9lMm9Eb2MueG1sUEsFBgAA&#10;AAAGAAYAWQEAAPoFA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搅拌</w:t>
                              </w:r>
                            </w:p>
                          </w:txbxContent>
                        </v:textbox>
                      </v:rect>
                      <v:rect id="_x0000_s1026" o:spid="_x0000_s1026" o:spt="1" style="position:absolute;left:1704975;top:1981200;height:419100;width:657225;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XS9Vd1QAAAAUBAAAPAAAAAAAAAAEAIAAAACIAAABkcnMvZG93bnJldi54bWxQSwECFAAUAAAA&#10;CACHTuJAF9MeXGMCAACeBAAADgAAAAAAAAABACAAAAAkAQAAZHJzL2Uyb0RvYy54bWxQSwUGAAAA&#10;AAYABgBZAQAA+QU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油压</w:t>
                              </w:r>
                            </w:p>
                          </w:txbxContent>
                        </v:textbox>
                      </v:rect>
                      <v:shape id="_x0000_s1026" o:spid="_x0000_s1026" o:spt="32" type="#_x0000_t32" style="position:absolute;left:2362200;top:2190749;flip:y;height:1;width:390525;" filled="f" stroked="t" coordsize="21600,21600" o:gfxdata="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DIkJKtUAAAAF&#10;AQAADwAAAAAAAAABACAAAAAiAAAAZHJzL2Rvd25yZXYueG1sUEsBAhQAFAAAAAgAh07iQAj7MFcf&#10;AgAA8wMAAA4AAAAAAAAAAQAgAAAAJAEAAGRycy9lMm9Eb2MueG1sUEsFBgAAAAAGAAYAWQEAALUF&#10;AAAAAA==&#10;">
                        <v:fill on="f" focussize="0,0"/>
                        <v:stroke color="#4A7EBB [3204]" joinstyle="round" endarrow="block"/>
                        <v:imagedata o:title=""/>
                        <o:lock v:ext="edit" aspectratio="f"/>
                      </v:shape>
                      <v:rect id="_x0000_s1026" o:spid="_x0000_s1026" o:spt="1" style="position:absolute;left:2752725;top:1990726;height:419100;width:657225;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10vVXdUAAAAFAQAADwAAAAAAAAABACAAAAAiAAAAZHJzL2Rvd25yZXYueG1sUEsBAhQAFAAA&#10;AAgAh07iQJ5XYstkAgAAngQAAA4AAAAAAAAAAQAgAAAAJAEAAGRycy9lMm9Eb2MueG1sUEsFBgAA&#10;AAAGAAYAWQEAAPoFA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脱模</w:t>
                              </w:r>
                            </w:p>
                          </w:txbxContent>
                        </v:textbox>
                      </v:rect>
                      <v:shape id="_x0000_s1026" o:spid="_x0000_s1026" o:spt="32" type="#_x0000_t32" style="position:absolute;left:1381126;top:2190750;height:0;width:323849;" filled="f" stroked="t" coordsize="21600,21600" o:gfxdata="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M4&#10;tbbWAAAABQEAAA8AAAAAAAAAAQAgAAAAIgAAAGRycy9kb3ducmV2LnhtbFBLAQIUABQAAAAIAIdO&#10;4kASG8HcJQIAAAQEAAAOAAAAAAAAAAEAIAAAACUBAABkcnMvZTJvRG9jLnhtbFBLBQYAAAAABgAG&#10;AFkBAAC8BQAAAAA=&#10;">
                        <v:fill on="f" focussize="0,0"/>
                        <v:stroke color="#4A7EBB [3204]" joinstyle="round" endarrow="block"/>
                        <v:imagedata o:title=""/>
                        <o:lock v:ext="edit" aspectratio="f"/>
                      </v:shape>
                      <v:shape id="_x0000_s1026" o:spid="_x0000_s1026" o:spt="32" type="#_x0000_t32" style="position:absolute;left:3409950;top:2181225;flip:y;height:1;width:390525;" filled="f" stroked="t" coordsize="21600,21600" o:gfxdata="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yJCSrVAAAABQEAAA8AAAAAAAAAAQAgAAAA&#10;IgAAAGRycy9kb3ducmV2LnhtbFBLAQIUABQAAAAIAIdO4kCQ6xyBDgIAAMwDAAAOAAAAAAAAAAEA&#10;IAAAACQBAABkcnMvZTJvRG9jLnhtbFBLBQYAAAAABgAGAFkBAACkBQAAAAA=&#10;">
                        <v:fill on="f" focussize="0,0"/>
                        <v:stroke color="#4A7EBB [3204]" joinstyle="round" endarrow="block"/>
                        <v:imagedata o:title=""/>
                        <o:lock v:ext="edit" aspectratio="f"/>
                      </v:shape>
                      <v:rect id="_x0000_s1026" o:spid="_x0000_s1026" o:spt="1" style="position:absolute;left:3800475;top:1981200;height:419100;width:657225;v-text-anchor:middle;" filled="f" stroked="t" coordsize="21600,21600" o:gfxdata="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XS9Vd1QAAAAUBAAAPAAAAAAAAAAEAIAAAACIAAABkcnMvZG93bnJldi54bWxQSwECFAAUAAAA&#10;CACHTuJAZFzQjWMCAACeBAAADgAAAAAAAAABACAAAAAkAQAAZHJzL2Uyb0RvYy54bWxQSwUGAAAA&#10;AAYABgBZAQAA+QUAAAAA&#10;">
                        <v:fill on="f" focussize="0,0"/>
                        <v:stroke color="#385D8A [3204]" joinstyle="round"/>
                        <v:imagedata o:title=""/>
                        <o:lock v:ext="edit" aspectratio="f"/>
                        <v:textbox>
                          <w:txbxContent>
                            <w:p>
                              <w:pPr>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风干</w:t>
                              </w:r>
                            </w:p>
                          </w:txbxContent>
                        </v:textbox>
                      </v:rect>
                      <w10:wrap type="none"/>
                      <w10:anchorlock/>
                    </v:group>
                  </w:pict>
                </mc:Fallback>
              </mc:AlternateContent>
            </w:r>
          </w:p>
          <w:p>
            <w:pPr>
              <w:pStyle w:val="36"/>
              <w:spacing w:line="360" w:lineRule="auto"/>
              <w:ind w:firstLine="482"/>
              <w:rPr>
                <w:rFonts w:ascii="宋体" w:hAnsi="宋体"/>
                <w:b/>
                <w:szCs w:val="24"/>
              </w:rPr>
            </w:pPr>
            <w:r>
              <w:rPr>
                <w:rFonts w:hint="eastAsia" w:ascii="宋体" w:hAnsi="宋体"/>
                <w:b/>
                <w:szCs w:val="24"/>
              </w:rPr>
              <w:t>4.产品方案</w:t>
            </w:r>
          </w:p>
          <w:p>
            <w:pPr>
              <w:pStyle w:val="36"/>
              <w:spacing w:line="360" w:lineRule="auto"/>
              <w:ind w:firstLine="480"/>
              <w:rPr>
                <w:szCs w:val="24"/>
              </w:rPr>
            </w:pPr>
            <w:r>
              <w:rPr>
                <w:rFonts w:hint="eastAsia"/>
                <w:szCs w:val="24"/>
              </w:rPr>
              <w:t>项目年产绝缘防爆型阻火模块</w:t>
            </w:r>
            <w:r>
              <w:rPr>
                <w:szCs w:val="24"/>
              </w:rPr>
              <w:t>650</w:t>
            </w:r>
            <w:r>
              <w:rPr>
                <w:rFonts w:hint="eastAsia"/>
                <w:szCs w:val="24"/>
              </w:rPr>
              <w:t>立方米。</w:t>
            </w:r>
          </w:p>
          <w:p>
            <w:pPr>
              <w:pStyle w:val="36"/>
              <w:spacing w:line="360" w:lineRule="auto"/>
              <w:ind w:firstLine="482"/>
              <w:rPr>
                <w:rFonts w:ascii="宋体" w:hAnsi="宋体"/>
                <w:b/>
                <w:szCs w:val="24"/>
              </w:rPr>
            </w:pPr>
            <w:r>
              <w:rPr>
                <w:rFonts w:ascii="宋体" w:hAnsi="宋体"/>
                <w:b/>
                <w:szCs w:val="24"/>
              </w:rPr>
              <w:t>5.</w:t>
            </w:r>
            <w:r>
              <w:rPr>
                <w:rFonts w:hint="eastAsia" w:ascii="宋体" w:hAnsi="宋体"/>
                <w:b/>
                <w:szCs w:val="24"/>
              </w:rPr>
              <w:t>主要原辅料名称及用量</w:t>
            </w:r>
          </w:p>
          <w:p>
            <w:pPr>
              <w:pStyle w:val="36"/>
              <w:spacing w:line="360" w:lineRule="auto"/>
              <w:ind w:firstLine="480"/>
              <w:rPr>
                <w:rFonts w:ascii="宋体" w:hAnsi="宋体"/>
                <w:bCs/>
              </w:rPr>
            </w:pPr>
            <w:r>
              <w:rPr>
                <w:rFonts w:ascii="宋体" w:hAnsi="宋体"/>
                <w:bCs/>
              </w:rPr>
              <w:t>项目</w:t>
            </w:r>
            <w:r>
              <w:rPr>
                <w:rFonts w:hint="eastAsia" w:ascii="宋体" w:hAnsi="宋体"/>
                <w:bCs/>
              </w:rPr>
              <w:t>主要</w:t>
            </w:r>
            <w:r>
              <w:rPr>
                <w:rFonts w:ascii="宋体" w:hAnsi="宋体"/>
                <w:bCs/>
              </w:rPr>
              <w:t>原辅材料</w:t>
            </w:r>
            <w:r>
              <w:rPr>
                <w:rFonts w:hint="eastAsia" w:ascii="宋体" w:hAnsi="宋体"/>
                <w:bCs/>
              </w:rPr>
              <w:t>及理化性质见表：</w:t>
            </w:r>
            <w:r>
              <w:rPr>
                <w:rFonts w:ascii="宋体" w:hAnsi="宋体"/>
                <w:bCs/>
              </w:rPr>
              <w:t xml:space="preserve"> </w:t>
            </w:r>
          </w:p>
          <w:p>
            <w:pPr>
              <w:pStyle w:val="36"/>
              <w:spacing w:line="360" w:lineRule="auto"/>
              <w:ind w:firstLine="480"/>
              <w:jc w:val="center"/>
              <w:rPr>
                <w:rFonts w:ascii="宋体" w:hAnsi="宋体"/>
                <w:bCs/>
              </w:rPr>
            </w:pPr>
            <w:r>
              <w:rPr>
                <w:rFonts w:ascii="宋体" w:hAnsi="宋体"/>
                <w:bCs/>
              </w:rPr>
              <w:t>表1-1 本项目主要原辅材料一览表</w:t>
            </w:r>
          </w:p>
          <w:tbl>
            <w:tblPr>
              <w:tblStyle w:val="25"/>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515"/>
              <w:gridCol w:w="1304"/>
              <w:gridCol w:w="900"/>
              <w:gridCol w:w="870"/>
              <w:gridCol w:w="1095"/>
              <w:gridCol w:w="841"/>
              <w:gridCol w:w="269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19" w:hRule="atLeast"/>
                <w:jc w:val="center"/>
              </w:trPr>
              <w:tc>
                <w:tcPr>
                  <w:tcW w:w="515" w:type="dxa"/>
                  <w:vAlign w:val="center"/>
                </w:tcPr>
                <w:p>
                  <w:pPr>
                    <w:pStyle w:val="36"/>
                    <w:spacing w:line="240" w:lineRule="auto"/>
                    <w:ind w:firstLine="0" w:firstLineChars="0"/>
                    <w:jc w:val="center"/>
                    <w:rPr>
                      <w:rStyle w:val="32"/>
                    </w:rPr>
                  </w:pPr>
                  <w:r>
                    <w:rPr>
                      <w:rStyle w:val="32"/>
                    </w:rPr>
                    <w:t>序号</w:t>
                  </w:r>
                </w:p>
              </w:tc>
              <w:tc>
                <w:tcPr>
                  <w:tcW w:w="1304" w:type="dxa"/>
                  <w:vAlign w:val="center"/>
                </w:tcPr>
                <w:p>
                  <w:pPr>
                    <w:pStyle w:val="36"/>
                    <w:spacing w:line="240" w:lineRule="auto"/>
                    <w:ind w:firstLine="0" w:firstLineChars="0"/>
                    <w:jc w:val="center"/>
                    <w:rPr>
                      <w:rStyle w:val="32"/>
                    </w:rPr>
                  </w:pPr>
                  <w:r>
                    <w:rPr>
                      <w:rStyle w:val="32"/>
                    </w:rPr>
                    <w:t>物料名称</w:t>
                  </w:r>
                </w:p>
              </w:tc>
              <w:tc>
                <w:tcPr>
                  <w:tcW w:w="900" w:type="dxa"/>
                  <w:vAlign w:val="center"/>
                </w:tcPr>
                <w:p>
                  <w:pPr>
                    <w:pStyle w:val="36"/>
                    <w:spacing w:line="240" w:lineRule="auto"/>
                    <w:ind w:firstLine="0" w:firstLineChars="0"/>
                    <w:jc w:val="center"/>
                    <w:rPr>
                      <w:rStyle w:val="32"/>
                    </w:rPr>
                  </w:pPr>
                  <w:r>
                    <w:rPr>
                      <w:rStyle w:val="32"/>
                    </w:rPr>
                    <w:t>单位/规格</w:t>
                  </w:r>
                </w:p>
              </w:tc>
              <w:tc>
                <w:tcPr>
                  <w:tcW w:w="870" w:type="dxa"/>
                  <w:vAlign w:val="center"/>
                </w:tcPr>
                <w:p>
                  <w:pPr>
                    <w:pStyle w:val="36"/>
                    <w:spacing w:line="240" w:lineRule="auto"/>
                    <w:ind w:firstLine="0" w:firstLineChars="0"/>
                    <w:jc w:val="center"/>
                    <w:rPr>
                      <w:rStyle w:val="32"/>
                    </w:rPr>
                  </w:pPr>
                  <w:r>
                    <w:rPr>
                      <w:rStyle w:val="32"/>
                    </w:rPr>
                    <w:t>数量</w:t>
                  </w:r>
                  <w:r>
                    <w:rPr>
                      <w:rStyle w:val="32"/>
                      <w:rFonts w:hint="eastAsia"/>
                    </w:rPr>
                    <w:t>（t/a）</w:t>
                  </w:r>
                </w:p>
              </w:tc>
              <w:tc>
                <w:tcPr>
                  <w:tcW w:w="1095" w:type="dxa"/>
                  <w:vAlign w:val="center"/>
                </w:tcPr>
                <w:p>
                  <w:pPr>
                    <w:pStyle w:val="36"/>
                    <w:spacing w:line="240" w:lineRule="auto"/>
                    <w:ind w:firstLine="0" w:firstLineChars="0"/>
                    <w:jc w:val="center"/>
                    <w:rPr>
                      <w:rStyle w:val="32"/>
                    </w:rPr>
                  </w:pPr>
                  <w:r>
                    <w:rPr>
                      <w:rStyle w:val="32"/>
                      <w:rFonts w:hint="eastAsia"/>
                    </w:rPr>
                    <w:t>最大储存量（t/a）</w:t>
                  </w:r>
                </w:p>
              </w:tc>
              <w:tc>
                <w:tcPr>
                  <w:tcW w:w="841" w:type="dxa"/>
                  <w:vAlign w:val="center"/>
                </w:tcPr>
                <w:p>
                  <w:pPr>
                    <w:pStyle w:val="36"/>
                    <w:spacing w:line="240" w:lineRule="auto"/>
                    <w:ind w:firstLine="0" w:firstLineChars="0"/>
                    <w:jc w:val="center"/>
                    <w:rPr>
                      <w:rStyle w:val="32"/>
                    </w:rPr>
                  </w:pPr>
                  <w:r>
                    <w:rPr>
                      <w:rStyle w:val="32"/>
                      <w:rFonts w:hint="eastAsia"/>
                    </w:rPr>
                    <w:t>包装方式</w:t>
                  </w:r>
                </w:p>
              </w:tc>
              <w:tc>
                <w:tcPr>
                  <w:tcW w:w="2695" w:type="dxa"/>
                  <w:vAlign w:val="center"/>
                </w:tcPr>
                <w:p>
                  <w:pPr>
                    <w:pStyle w:val="36"/>
                    <w:spacing w:line="240" w:lineRule="auto"/>
                    <w:ind w:firstLine="0" w:firstLineChars="0"/>
                    <w:jc w:val="center"/>
                    <w:rPr>
                      <w:rStyle w:val="32"/>
                    </w:rPr>
                  </w:pPr>
                  <w:r>
                    <w:rPr>
                      <w:rStyle w:val="32"/>
                    </w:rPr>
                    <w:t>来源及运输</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87" w:hRule="atLeast"/>
                <w:jc w:val="center"/>
              </w:trPr>
              <w:tc>
                <w:tcPr>
                  <w:tcW w:w="515" w:type="dxa"/>
                  <w:vAlign w:val="center"/>
                </w:tcPr>
                <w:p>
                  <w:pPr>
                    <w:pStyle w:val="36"/>
                    <w:spacing w:line="240" w:lineRule="auto"/>
                    <w:ind w:firstLine="0" w:firstLineChars="0"/>
                    <w:jc w:val="center"/>
                    <w:rPr>
                      <w:rStyle w:val="32"/>
                    </w:rPr>
                  </w:pPr>
                  <w:bookmarkStart w:id="2" w:name="OLE_LINK5" w:colFirst="1" w:colLast="1"/>
                  <w:r>
                    <w:rPr>
                      <w:rStyle w:val="32"/>
                    </w:rPr>
                    <w:t>1</w:t>
                  </w:r>
                </w:p>
              </w:tc>
              <w:tc>
                <w:tcPr>
                  <w:tcW w:w="1304" w:type="dxa"/>
                  <w:vAlign w:val="center"/>
                </w:tcPr>
                <w:p>
                  <w:pPr>
                    <w:pStyle w:val="36"/>
                    <w:spacing w:line="240" w:lineRule="auto"/>
                    <w:ind w:firstLine="0" w:firstLineChars="0"/>
                    <w:jc w:val="center"/>
                    <w:rPr>
                      <w:rStyle w:val="32"/>
                    </w:rPr>
                  </w:pPr>
                  <w:r>
                    <w:rPr>
                      <w:rStyle w:val="32"/>
                      <w:rFonts w:hint="eastAsia"/>
                    </w:rPr>
                    <w:t>蛭石</w:t>
                  </w:r>
                </w:p>
              </w:tc>
              <w:tc>
                <w:tcPr>
                  <w:tcW w:w="900" w:type="dxa"/>
                  <w:vAlign w:val="center"/>
                </w:tcPr>
                <w:p>
                  <w:pPr>
                    <w:pStyle w:val="36"/>
                    <w:spacing w:line="240" w:lineRule="auto"/>
                    <w:ind w:firstLine="0" w:firstLineChars="0"/>
                    <w:jc w:val="center"/>
                    <w:rPr>
                      <w:rStyle w:val="32"/>
                    </w:rPr>
                  </w:pPr>
                  <w:r>
                    <w:rPr>
                      <w:rStyle w:val="32"/>
                    </w:rPr>
                    <w:t>吨</w:t>
                  </w:r>
                </w:p>
              </w:tc>
              <w:tc>
                <w:tcPr>
                  <w:tcW w:w="870"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150</w:t>
                  </w:r>
                </w:p>
              </w:tc>
              <w:tc>
                <w:tcPr>
                  <w:tcW w:w="1095"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5</w:t>
                  </w:r>
                </w:p>
              </w:tc>
              <w:tc>
                <w:tcPr>
                  <w:tcW w:w="841" w:type="dxa"/>
                  <w:vAlign w:val="center"/>
                </w:tcPr>
                <w:p>
                  <w:pPr>
                    <w:pStyle w:val="36"/>
                    <w:spacing w:line="240" w:lineRule="auto"/>
                    <w:ind w:firstLine="0" w:firstLineChars="0"/>
                    <w:jc w:val="center"/>
                    <w:rPr>
                      <w:rStyle w:val="32"/>
                    </w:rPr>
                  </w:pPr>
                  <w:r>
                    <w:rPr>
                      <w:rStyle w:val="32"/>
                      <w:rFonts w:hint="eastAsia"/>
                    </w:rPr>
                    <w:t>袋装</w:t>
                  </w:r>
                </w:p>
              </w:tc>
              <w:tc>
                <w:tcPr>
                  <w:tcW w:w="2695" w:type="dxa"/>
                  <w:vAlign w:val="center"/>
                </w:tcPr>
                <w:p>
                  <w:pPr>
                    <w:pStyle w:val="36"/>
                    <w:spacing w:line="240" w:lineRule="auto"/>
                    <w:ind w:firstLine="0" w:firstLineChars="0"/>
                    <w:jc w:val="left"/>
                    <w:rPr>
                      <w:rStyle w:val="32"/>
                    </w:rPr>
                  </w:pPr>
                  <w:r>
                    <w:rPr>
                      <w:rStyle w:val="32"/>
                    </w:rPr>
                    <w:t>外购、汽运，原料库贮存</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1" w:hRule="atLeast"/>
                <w:jc w:val="center"/>
              </w:trPr>
              <w:tc>
                <w:tcPr>
                  <w:tcW w:w="515" w:type="dxa"/>
                  <w:vAlign w:val="center"/>
                </w:tcPr>
                <w:p>
                  <w:pPr>
                    <w:pStyle w:val="36"/>
                    <w:spacing w:line="240" w:lineRule="auto"/>
                    <w:ind w:firstLine="0" w:firstLineChars="0"/>
                    <w:jc w:val="center"/>
                    <w:rPr>
                      <w:rStyle w:val="32"/>
                    </w:rPr>
                  </w:pPr>
                  <w:r>
                    <w:rPr>
                      <w:rStyle w:val="32"/>
                    </w:rPr>
                    <w:t>2</w:t>
                  </w:r>
                </w:p>
              </w:tc>
              <w:tc>
                <w:tcPr>
                  <w:tcW w:w="1304" w:type="dxa"/>
                  <w:vAlign w:val="center"/>
                </w:tcPr>
                <w:p>
                  <w:pPr>
                    <w:pStyle w:val="36"/>
                    <w:spacing w:line="240" w:lineRule="auto"/>
                    <w:ind w:firstLine="0" w:firstLineChars="0"/>
                    <w:jc w:val="center"/>
                    <w:rPr>
                      <w:rStyle w:val="32"/>
                    </w:rPr>
                  </w:pPr>
                  <w:r>
                    <w:rPr>
                      <w:rStyle w:val="32"/>
                      <w:rFonts w:hint="eastAsia"/>
                    </w:rPr>
                    <w:t>石墨</w:t>
                  </w:r>
                </w:p>
              </w:tc>
              <w:tc>
                <w:tcPr>
                  <w:tcW w:w="900" w:type="dxa"/>
                  <w:vAlign w:val="center"/>
                </w:tcPr>
                <w:p>
                  <w:pPr>
                    <w:pStyle w:val="36"/>
                    <w:spacing w:line="240" w:lineRule="auto"/>
                    <w:ind w:firstLine="0" w:firstLineChars="0"/>
                    <w:jc w:val="center"/>
                    <w:rPr>
                      <w:rStyle w:val="32"/>
                    </w:rPr>
                  </w:pPr>
                  <w:r>
                    <w:rPr>
                      <w:rStyle w:val="32"/>
                    </w:rPr>
                    <w:t>吨</w:t>
                  </w:r>
                </w:p>
              </w:tc>
              <w:tc>
                <w:tcPr>
                  <w:tcW w:w="870"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0.348</w:t>
                  </w:r>
                </w:p>
              </w:tc>
              <w:tc>
                <w:tcPr>
                  <w:tcW w:w="1095"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0.087</w:t>
                  </w:r>
                </w:p>
              </w:tc>
              <w:tc>
                <w:tcPr>
                  <w:tcW w:w="841" w:type="dxa"/>
                  <w:vAlign w:val="center"/>
                </w:tcPr>
                <w:p>
                  <w:pPr>
                    <w:pStyle w:val="36"/>
                    <w:spacing w:line="240" w:lineRule="auto"/>
                    <w:ind w:firstLine="0" w:firstLineChars="0"/>
                    <w:jc w:val="center"/>
                    <w:rPr>
                      <w:rStyle w:val="32"/>
                    </w:rPr>
                  </w:pPr>
                  <w:r>
                    <w:rPr>
                      <w:rStyle w:val="32"/>
                      <w:rFonts w:hint="eastAsia"/>
                    </w:rPr>
                    <w:t>袋装</w:t>
                  </w:r>
                </w:p>
              </w:tc>
              <w:tc>
                <w:tcPr>
                  <w:tcW w:w="2695" w:type="dxa"/>
                  <w:vAlign w:val="center"/>
                </w:tcPr>
                <w:p>
                  <w:pPr>
                    <w:pStyle w:val="36"/>
                    <w:spacing w:line="240" w:lineRule="auto"/>
                    <w:ind w:firstLine="0" w:firstLineChars="0"/>
                    <w:jc w:val="left"/>
                    <w:rPr>
                      <w:rStyle w:val="32"/>
                    </w:rPr>
                  </w:pPr>
                  <w:r>
                    <w:rPr>
                      <w:rStyle w:val="32"/>
                    </w:rPr>
                    <w:t>外购、汽运，原料库贮存</w:t>
                  </w:r>
                </w:p>
              </w:tc>
            </w:tr>
            <w:bookmarkEnd w:id="2"/>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1" w:hRule="atLeast"/>
                <w:jc w:val="center"/>
              </w:trPr>
              <w:tc>
                <w:tcPr>
                  <w:tcW w:w="515" w:type="dxa"/>
                  <w:vAlign w:val="center"/>
                </w:tcPr>
                <w:p>
                  <w:pPr>
                    <w:pStyle w:val="36"/>
                    <w:spacing w:line="240" w:lineRule="auto"/>
                    <w:ind w:firstLine="0" w:firstLineChars="0"/>
                    <w:jc w:val="center"/>
                    <w:rPr>
                      <w:rStyle w:val="32"/>
                    </w:rPr>
                  </w:pPr>
                  <w:r>
                    <w:rPr>
                      <w:rStyle w:val="32"/>
                    </w:rPr>
                    <w:t>3</w:t>
                  </w:r>
                </w:p>
              </w:tc>
              <w:tc>
                <w:tcPr>
                  <w:tcW w:w="1304" w:type="dxa"/>
                  <w:vAlign w:val="center"/>
                </w:tcPr>
                <w:p>
                  <w:pPr>
                    <w:pStyle w:val="36"/>
                    <w:spacing w:line="240" w:lineRule="auto"/>
                    <w:ind w:firstLine="0" w:firstLineChars="0"/>
                    <w:jc w:val="center"/>
                    <w:rPr>
                      <w:rStyle w:val="32"/>
                    </w:rPr>
                  </w:pPr>
                  <w:r>
                    <w:rPr>
                      <w:rStyle w:val="32"/>
                      <w:rFonts w:hint="eastAsia"/>
                    </w:rPr>
                    <w:t>聚磷酸铵</w:t>
                  </w:r>
                </w:p>
              </w:tc>
              <w:tc>
                <w:tcPr>
                  <w:tcW w:w="900" w:type="dxa"/>
                  <w:vAlign w:val="center"/>
                </w:tcPr>
                <w:p>
                  <w:pPr>
                    <w:pStyle w:val="36"/>
                    <w:spacing w:line="240" w:lineRule="auto"/>
                    <w:ind w:firstLine="0" w:firstLineChars="0"/>
                    <w:jc w:val="center"/>
                    <w:rPr>
                      <w:rStyle w:val="32"/>
                    </w:rPr>
                  </w:pPr>
                  <w:r>
                    <w:rPr>
                      <w:rStyle w:val="32"/>
                    </w:rPr>
                    <w:t>吨</w:t>
                  </w:r>
                </w:p>
              </w:tc>
              <w:tc>
                <w:tcPr>
                  <w:tcW w:w="870"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8.7</w:t>
                  </w:r>
                </w:p>
              </w:tc>
              <w:tc>
                <w:tcPr>
                  <w:tcW w:w="1095"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0.8</w:t>
                  </w:r>
                </w:p>
              </w:tc>
              <w:tc>
                <w:tcPr>
                  <w:tcW w:w="841" w:type="dxa"/>
                  <w:vAlign w:val="center"/>
                </w:tcPr>
                <w:p>
                  <w:pPr>
                    <w:pStyle w:val="36"/>
                    <w:spacing w:line="240" w:lineRule="auto"/>
                    <w:ind w:firstLine="0" w:firstLineChars="0"/>
                    <w:jc w:val="center"/>
                    <w:rPr>
                      <w:rStyle w:val="32"/>
                    </w:rPr>
                  </w:pPr>
                  <w:r>
                    <w:rPr>
                      <w:rStyle w:val="32"/>
                      <w:rFonts w:hint="eastAsia"/>
                    </w:rPr>
                    <w:t>袋装</w:t>
                  </w:r>
                </w:p>
              </w:tc>
              <w:tc>
                <w:tcPr>
                  <w:tcW w:w="2695" w:type="dxa"/>
                  <w:vAlign w:val="center"/>
                </w:tcPr>
                <w:p>
                  <w:pPr>
                    <w:pStyle w:val="36"/>
                    <w:spacing w:line="240" w:lineRule="auto"/>
                    <w:ind w:firstLine="0" w:firstLineChars="0"/>
                    <w:jc w:val="left"/>
                    <w:rPr>
                      <w:rStyle w:val="32"/>
                    </w:rPr>
                  </w:pPr>
                  <w:r>
                    <w:rPr>
                      <w:rStyle w:val="32"/>
                    </w:rPr>
                    <w:t>外购、汽运，原料库贮存</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2" w:hRule="atLeast"/>
                <w:jc w:val="center"/>
              </w:trPr>
              <w:tc>
                <w:tcPr>
                  <w:tcW w:w="515" w:type="dxa"/>
                  <w:vAlign w:val="center"/>
                </w:tcPr>
                <w:p>
                  <w:pPr>
                    <w:pStyle w:val="36"/>
                    <w:spacing w:line="240" w:lineRule="auto"/>
                    <w:ind w:firstLine="0" w:firstLineChars="0"/>
                    <w:jc w:val="center"/>
                    <w:rPr>
                      <w:rStyle w:val="32"/>
                    </w:rPr>
                  </w:pPr>
                  <w:r>
                    <w:rPr>
                      <w:rStyle w:val="32"/>
                    </w:rPr>
                    <w:t>4</w:t>
                  </w:r>
                </w:p>
              </w:tc>
              <w:tc>
                <w:tcPr>
                  <w:tcW w:w="1304" w:type="dxa"/>
                  <w:vAlign w:val="center"/>
                </w:tcPr>
                <w:p>
                  <w:pPr>
                    <w:pStyle w:val="36"/>
                    <w:spacing w:line="240" w:lineRule="auto"/>
                    <w:ind w:firstLine="0" w:firstLineChars="0"/>
                    <w:jc w:val="center"/>
                    <w:rPr>
                      <w:rStyle w:val="32"/>
                    </w:rPr>
                  </w:pPr>
                  <w:r>
                    <w:rPr>
                      <w:rStyle w:val="32"/>
                      <w:rFonts w:hint="eastAsia"/>
                    </w:rPr>
                    <w:t>阳离子氯丁胶乳</w:t>
                  </w:r>
                </w:p>
              </w:tc>
              <w:tc>
                <w:tcPr>
                  <w:tcW w:w="900" w:type="dxa"/>
                  <w:vAlign w:val="center"/>
                </w:tcPr>
                <w:p>
                  <w:pPr>
                    <w:pStyle w:val="36"/>
                    <w:spacing w:line="240" w:lineRule="auto"/>
                    <w:ind w:firstLine="0" w:firstLineChars="0"/>
                    <w:jc w:val="center"/>
                    <w:rPr>
                      <w:rStyle w:val="32"/>
                    </w:rPr>
                  </w:pPr>
                  <w:r>
                    <w:rPr>
                      <w:rStyle w:val="32"/>
                    </w:rPr>
                    <w:t>吨</w:t>
                  </w:r>
                </w:p>
              </w:tc>
              <w:tc>
                <w:tcPr>
                  <w:tcW w:w="870"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34.8</w:t>
                  </w:r>
                </w:p>
              </w:tc>
              <w:tc>
                <w:tcPr>
                  <w:tcW w:w="1095" w:type="dxa"/>
                  <w:vAlign w:val="center"/>
                </w:tcPr>
                <w:p>
                  <w:pPr>
                    <w:pStyle w:val="36"/>
                    <w:spacing w:line="240" w:lineRule="auto"/>
                    <w:ind w:firstLine="0" w:firstLineChars="0"/>
                    <w:jc w:val="center"/>
                    <w:rPr>
                      <w:rStyle w:val="32"/>
                      <w:rFonts w:asciiTheme="minorEastAsia" w:hAnsiTheme="minorEastAsia" w:eastAsiaTheme="minorEastAsia"/>
                    </w:rPr>
                  </w:pPr>
                  <w:r>
                    <w:rPr>
                      <w:rFonts w:asciiTheme="minorEastAsia" w:hAnsiTheme="minorEastAsia" w:eastAsiaTheme="minorEastAsia"/>
                      <w:sz w:val="21"/>
                      <w:szCs w:val="21"/>
                    </w:rPr>
                    <w:t>3</w:t>
                  </w:r>
                </w:p>
              </w:tc>
              <w:tc>
                <w:tcPr>
                  <w:tcW w:w="841" w:type="dxa"/>
                  <w:vAlign w:val="center"/>
                </w:tcPr>
                <w:p>
                  <w:pPr>
                    <w:pStyle w:val="36"/>
                    <w:spacing w:line="240" w:lineRule="auto"/>
                    <w:ind w:firstLine="0" w:firstLineChars="0"/>
                    <w:jc w:val="center"/>
                    <w:rPr>
                      <w:rStyle w:val="32"/>
                    </w:rPr>
                  </w:pPr>
                  <w:r>
                    <w:rPr>
                      <w:rStyle w:val="32"/>
                      <w:rFonts w:hint="eastAsia"/>
                    </w:rPr>
                    <w:t>桶装</w:t>
                  </w:r>
                </w:p>
              </w:tc>
              <w:tc>
                <w:tcPr>
                  <w:tcW w:w="2695" w:type="dxa"/>
                  <w:vAlign w:val="center"/>
                </w:tcPr>
                <w:p>
                  <w:pPr>
                    <w:pStyle w:val="36"/>
                    <w:spacing w:line="240" w:lineRule="auto"/>
                    <w:ind w:firstLine="0" w:firstLineChars="0"/>
                    <w:jc w:val="left"/>
                    <w:rPr>
                      <w:rStyle w:val="32"/>
                    </w:rPr>
                  </w:pPr>
                  <w:r>
                    <w:rPr>
                      <w:rStyle w:val="32"/>
                    </w:rPr>
                    <w:t>外购、汽运，原料库贮存</w:t>
                  </w:r>
                </w:p>
              </w:tc>
            </w:tr>
          </w:tbl>
          <w:p>
            <w:pPr>
              <w:adjustRightInd w:val="0"/>
              <w:snapToGrid w:val="0"/>
              <w:ind w:firstLine="480" w:firstLineChars="200"/>
              <w:rPr>
                <w:rFonts w:eastAsia="仿宋_GB2312"/>
                <w:sz w:val="24"/>
              </w:rPr>
            </w:pPr>
          </w:p>
          <w:p>
            <w:pPr>
              <w:pStyle w:val="36"/>
              <w:spacing w:line="360" w:lineRule="auto"/>
              <w:ind w:firstLine="0" w:firstLineChars="0"/>
              <w:jc w:val="center"/>
              <w:rPr>
                <w:rFonts w:ascii="宋体" w:hAnsi="宋体"/>
                <w:bCs/>
              </w:rPr>
            </w:pPr>
            <w:r>
              <w:rPr>
                <w:rFonts w:ascii="宋体" w:hAnsi="宋体"/>
                <w:bCs/>
              </w:rPr>
              <w:t>表1-2 原辅材料理化性质一览表</w:t>
            </w: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80"/>
              <w:gridCol w:w="1290"/>
              <w:gridCol w:w="4950"/>
              <w:gridCol w:w="660"/>
              <w:gridCol w:w="78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06" w:hRule="atLeast"/>
              </w:trPr>
              <w:tc>
                <w:tcPr>
                  <w:tcW w:w="680" w:type="dxa"/>
                  <w:tcMar>
                    <w:left w:w="0" w:type="dxa"/>
                    <w:right w:w="0" w:type="dxa"/>
                  </w:tcMar>
                  <w:vAlign w:val="center"/>
                </w:tcPr>
                <w:p>
                  <w:pPr>
                    <w:pStyle w:val="36"/>
                    <w:spacing w:line="240" w:lineRule="auto"/>
                    <w:ind w:firstLine="0" w:firstLineChars="0"/>
                    <w:jc w:val="center"/>
                    <w:rPr>
                      <w:rStyle w:val="32"/>
                    </w:rPr>
                  </w:pPr>
                  <w:r>
                    <w:rPr>
                      <w:rStyle w:val="32"/>
                    </w:rPr>
                    <w:t>名称</w:t>
                  </w:r>
                </w:p>
              </w:tc>
              <w:tc>
                <w:tcPr>
                  <w:tcW w:w="1290" w:type="dxa"/>
                  <w:tcMar>
                    <w:left w:w="0" w:type="dxa"/>
                    <w:right w:w="0" w:type="dxa"/>
                  </w:tcMar>
                  <w:vAlign w:val="center"/>
                </w:tcPr>
                <w:p>
                  <w:pPr>
                    <w:pStyle w:val="36"/>
                    <w:spacing w:line="240" w:lineRule="auto"/>
                    <w:ind w:firstLine="0" w:firstLineChars="0"/>
                    <w:jc w:val="center"/>
                    <w:rPr>
                      <w:rStyle w:val="32"/>
                    </w:rPr>
                  </w:pPr>
                  <w:r>
                    <w:rPr>
                      <w:rStyle w:val="32"/>
                    </w:rPr>
                    <w:t>分子式</w:t>
                  </w:r>
                </w:p>
              </w:tc>
              <w:tc>
                <w:tcPr>
                  <w:tcW w:w="4950" w:type="dxa"/>
                  <w:tcMar>
                    <w:left w:w="0" w:type="dxa"/>
                    <w:right w:w="0" w:type="dxa"/>
                  </w:tcMar>
                  <w:vAlign w:val="center"/>
                </w:tcPr>
                <w:p>
                  <w:pPr>
                    <w:pStyle w:val="36"/>
                    <w:spacing w:line="240" w:lineRule="auto"/>
                    <w:ind w:firstLine="0" w:firstLineChars="0"/>
                    <w:jc w:val="center"/>
                    <w:rPr>
                      <w:rStyle w:val="32"/>
                    </w:rPr>
                  </w:pPr>
                  <w:r>
                    <w:rPr>
                      <w:rStyle w:val="32"/>
                    </w:rPr>
                    <w:t>理化性质</w:t>
                  </w:r>
                </w:p>
              </w:tc>
              <w:tc>
                <w:tcPr>
                  <w:tcW w:w="660" w:type="dxa"/>
                  <w:vAlign w:val="center"/>
                </w:tcPr>
                <w:p>
                  <w:pPr>
                    <w:pStyle w:val="36"/>
                    <w:spacing w:line="240" w:lineRule="auto"/>
                    <w:ind w:firstLine="0" w:firstLineChars="0"/>
                    <w:jc w:val="center"/>
                    <w:rPr>
                      <w:rStyle w:val="32"/>
                    </w:rPr>
                  </w:pPr>
                  <w:r>
                    <w:rPr>
                      <w:rStyle w:val="32"/>
                    </w:rPr>
                    <w:t>毒理毒性</w:t>
                  </w:r>
                </w:p>
              </w:tc>
              <w:tc>
                <w:tcPr>
                  <w:tcW w:w="780" w:type="dxa"/>
                  <w:vAlign w:val="center"/>
                </w:tcPr>
                <w:p>
                  <w:pPr>
                    <w:pStyle w:val="36"/>
                    <w:spacing w:line="240" w:lineRule="auto"/>
                    <w:ind w:firstLine="0" w:firstLineChars="0"/>
                    <w:jc w:val="center"/>
                    <w:rPr>
                      <w:rStyle w:val="32"/>
                    </w:rPr>
                  </w:pPr>
                  <w:r>
                    <w:rPr>
                      <w:rStyle w:val="32"/>
                    </w:rPr>
                    <w:t>燃烧爆炸性</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61" w:hRule="atLeast"/>
              </w:trPr>
              <w:tc>
                <w:tcPr>
                  <w:tcW w:w="680" w:type="dxa"/>
                  <w:tcMar>
                    <w:left w:w="0" w:type="dxa"/>
                    <w:right w:w="0" w:type="dxa"/>
                  </w:tcMar>
                  <w:vAlign w:val="center"/>
                </w:tcPr>
                <w:p>
                  <w:pPr>
                    <w:pStyle w:val="36"/>
                    <w:spacing w:line="240" w:lineRule="auto"/>
                    <w:ind w:firstLine="0" w:firstLineChars="0"/>
                    <w:jc w:val="center"/>
                    <w:rPr>
                      <w:rStyle w:val="32"/>
                    </w:rPr>
                  </w:pPr>
                  <w:r>
                    <w:rPr>
                      <w:rStyle w:val="32"/>
                    </w:rPr>
                    <w:t>蛭石</w:t>
                  </w:r>
                </w:p>
              </w:tc>
              <w:tc>
                <w:tcPr>
                  <w:tcW w:w="1290" w:type="dxa"/>
                  <w:tcMar>
                    <w:left w:w="0" w:type="dxa"/>
                    <w:right w:w="0" w:type="dxa"/>
                  </w:tcMar>
                  <w:vAlign w:val="center"/>
                </w:tcPr>
                <w:p>
                  <w:pPr>
                    <w:pStyle w:val="36"/>
                    <w:spacing w:line="240" w:lineRule="auto"/>
                    <w:ind w:firstLine="0" w:firstLineChars="0"/>
                    <w:jc w:val="center"/>
                    <w:rPr>
                      <w:rStyle w:val="32"/>
                    </w:rPr>
                  </w:pPr>
                  <w:r>
                    <w:rPr>
                      <w:rStyle w:val="32"/>
                      <w:rFonts w:hint="eastAsia"/>
                    </w:rPr>
                    <w:t>（Mg,Fe,Al）3[（Si,Al）4O10（OH）2]·4H2O</w:t>
                  </w:r>
                </w:p>
              </w:tc>
              <w:tc>
                <w:tcPr>
                  <w:tcW w:w="4950" w:type="dxa"/>
                  <w:tcMar>
                    <w:left w:w="0" w:type="dxa"/>
                    <w:right w:w="0" w:type="dxa"/>
                  </w:tcMar>
                  <w:vAlign w:val="center"/>
                </w:tcPr>
                <w:p>
                  <w:pPr>
                    <w:pStyle w:val="36"/>
                    <w:spacing w:line="240" w:lineRule="auto"/>
                    <w:ind w:firstLine="0" w:firstLineChars="0"/>
                    <w:jc w:val="left"/>
                    <w:rPr>
                      <w:rStyle w:val="32"/>
                    </w:rPr>
                  </w:pPr>
                  <w:r>
                    <w:rPr>
                      <w:rStyle w:val="32"/>
                    </w:rPr>
                    <w:t>单斜晶系，通常呈片状。褐、黄褐或古铜色。油脂光泽。硬度1~1.5。密度2.4~2.7g/cm3，蛭石在800~1000</w:t>
                  </w:r>
                  <w:r>
                    <w:rPr>
                      <w:rStyle w:val="32"/>
                      <w:rFonts w:hint="eastAsia"/>
                    </w:rPr>
                    <w:t>℃</w:t>
                  </w:r>
                  <w:r>
                    <w:rPr>
                      <w:rStyle w:val="32"/>
                    </w:rPr>
                    <w:t>焙烧，体积迅速膨胀</w:t>
                  </w:r>
                  <w:r>
                    <w:rPr>
                      <w:rStyle w:val="32"/>
                      <w:rFonts w:hint="eastAsia"/>
                    </w:rPr>
                    <w:t>，有良好的保温性能。</w:t>
                  </w:r>
                </w:p>
                <w:p>
                  <w:pPr>
                    <w:pStyle w:val="36"/>
                    <w:spacing w:line="240" w:lineRule="auto"/>
                    <w:ind w:firstLine="0" w:firstLineChars="0"/>
                    <w:jc w:val="left"/>
                    <w:rPr>
                      <w:rStyle w:val="32"/>
                    </w:rPr>
                  </w:pPr>
                  <w:r>
                    <w:rPr>
                      <w:rStyle w:val="32"/>
                      <w:rFonts w:hint="eastAsia"/>
                    </w:rPr>
                    <w:t>蛭石是一种天然、无毒的矿物质，在高温作用下会膨胀的矿物。它是一种比较少见的矿物，属于硅酸盐。其结晶结构为单斜晶系，从外形上它看上去像云母。</w:t>
                  </w:r>
                </w:p>
              </w:tc>
              <w:tc>
                <w:tcPr>
                  <w:tcW w:w="660" w:type="dxa"/>
                  <w:vAlign w:val="center"/>
                </w:tcPr>
                <w:p>
                  <w:pPr>
                    <w:pStyle w:val="36"/>
                    <w:spacing w:line="240" w:lineRule="auto"/>
                    <w:ind w:firstLine="0" w:firstLineChars="0"/>
                    <w:jc w:val="left"/>
                    <w:rPr>
                      <w:rStyle w:val="32"/>
                    </w:rPr>
                  </w:pPr>
                  <w:r>
                    <w:rPr>
                      <w:rStyle w:val="32"/>
                    </w:rPr>
                    <w:t>-</w:t>
                  </w:r>
                </w:p>
              </w:tc>
              <w:tc>
                <w:tcPr>
                  <w:tcW w:w="780" w:type="dxa"/>
                  <w:vAlign w:val="center"/>
                </w:tcPr>
                <w:p>
                  <w:pPr>
                    <w:pStyle w:val="36"/>
                    <w:spacing w:line="240" w:lineRule="auto"/>
                    <w:ind w:firstLine="0" w:firstLineChars="0"/>
                    <w:jc w:val="left"/>
                    <w:rPr>
                      <w:rStyle w:val="32"/>
                    </w:rPr>
                  </w:pPr>
                  <w:r>
                    <w:rPr>
                      <w:rStyle w:val="32"/>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318" w:hRule="atLeast"/>
              </w:trPr>
              <w:tc>
                <w:tcPr>
                  <w:tcW w:w="680" w:type="dxa"/>
                  <w:tcMar>
                    <w:left w:w="0" w:type="dxa"/>
                    <w:right w:w="0" w:type="dxa"/>
                  </w:tcMar>
                  <w:vAlign w:val="center"/>
                </w:tcPr>
                <w:p>
                  <w:pPr>
                    <w:pStyle w:val="36"/>
                    <w:spacing w:line="240" w:lineRule="auto"/>
                    <w:ind w:firstLine="0" w:firstLineChars="0"/>
                    <w:jc w:val="center"/>
                    <w:rPr>
                      <w:rStyle w:val="32"/>
                    </w:rPr>
                  </w:pPr>
                  <w:r>
                    <w:rPr>
                      <w:rStyle w:val="32"/>
                    </w:rPr>
                    <w:t>石墨</w:t>
                  </w:r>
                </w:p>
              </w:tc>
              <w:tc>
                <w:tcPr>
                  <w:tcW w:w="1290" w:type="dxa"/>
                  <w:tcMar>
                    <w:left w:w="0" w:type="dxa"/>
                    <w:right w:w="0" w:type="dxa"/>
                  </w:tcMar>
                  <w:vAlign w:val="center"/>
                </w:tcPr>
                <w:p>
                  <w:pPr>
                    <w:pStyle w:val="36"/>
                    <w:spacing w:line="240" w:lineRule="auto"/>
                    <w:ind w:firstLine="0" w:firstLineChars="0"/>
                    <w:jc w:val="center"/>
                    <w:rPr>
                      <w:rStyle w:val="32"/>
                    </w:rPr>
                  </w:pPr>
                  <w:r>
                    <w:rPr>
                      <w:rStyle w:val="32"/>
                    </w:rPr>
                    <w:t>-</w:t>
                  </w:r>
                </w:p>
              </w:tc>
              <w:tc>
                <w:tcPr>
                  <w:tcW w:w="4950" w:type="dxa"/>
                  <w:tcMar>
                    <w:left w:w="0" w:type="dxa"/>
                    <w:right w:w="0" w:type="dxa"/>
                  </w:tcMar>
                  <w:vAlign w:val="center"/>
                </w:tcPr>
                <w:p>
                  <w:pPr>
                    <w:pStyle w:val="36"/>
                    <w:spacing w:line="240" w:lineRule="auto"/>
                    <w:ind w:firstLine="0" w:firstLineChars="0"/>
                    <w:jc w:val="left"/>
                    <w:rPr>
                      <w:rStyle w:val="32"/>
                    </w:rPr>
                  </w:pPr>
                  <w:r>
                    <w:rPr>
                      <w:rStyle w:val="32"/>
                      <w:rFonts w:hint="eastAsia"/>
                    </w:rPr>
                    <w:t>石墨是碳质元素结晶矿物，它的结晶格架为六边形</w:t>
                  </w:r>
                  <w:r>
                    <w:fldChar w:fldCharType="begin"/>
                  </w:r>
                  <w:r>
                    <w:instrText xml:space="preserve"> HYPERLINK "https://baike.baidu.com/item/%E5%B1%82%E7%8A%B6%E7%BB%93%E6%9E%84" \t "https://baike.baidu.com/item/%E7%9F%B3%E5%A2%A8/_blank" </w:instrText>
                  </w:r>
                  <w:r>
                    <w:fldChar w:fldCharType="separate"/>
                  </w:r>
                  <w:r>
                    <w:rPr>
                      <w:rStyle w:val="32"/>
                    </w:rPr>
                    <w:t>层状结构</w:t>
                  </w:r>
                  <w:r>
                    <w:rPr>
                      <w:rStyle w:val="32"/>
                    </w:rPr>
                    <w:fldChar w:fldCharType="end"/>
                  </w:r>
                  <w:r>
                    <w:rPr>
                      <w:rStyle w:val="32"/>
                    </w:rPr>
                    <w:t>。每一网层间的距离为340pm，同一网层中</w:t>
                  </w:r>
                  <w:r>
                    <w:fldChar w:fldCharType="begin"/>
                  </w:r>
                  <w:r>
                    <w:instrText xml:space="preserve"> HYPERLINK "https://baike.baidu.com/item/%E7%A2%B3%E5%8E%9F%E5%AD%90" \t "https://baike.baidu.com/item/%E7%9F%B3%E5%A2%A8/_blank" </w:instrText>
                  </w:r>
                  <w:r>
                    <w:fldChar w:fldCharType="separate"/>
                  </w:r>
                  <w:r>
                    <w:rPr>
                      <w:rStyle w:val="32"/>
                    </w:rPr>
                    <w:t>碳原子</w:t>
                  </w:r>
                  <w:r>
                    <w:rPr>
                      <w:rStyle w:val="32"/>
                    </w:rPr>
                    <w:fldChar w:fldCharType="end"/>
                  </w:r>
                  <w:r>
                    <w:rPr>
                      <w:rStyle w:val="32"/>
                    </w:rPr>
                    <w:t>的间距为142pm。属六方晶系，具完整的层状</w:t>
                  </w:r>
                  <w:r>
                    <w:fldChar w:fldCharType="begin"/>
                  </w:r>
                  <w:r>
                    <w:instrText xml:space="preserve"> HYPERLINK "https://baike.baidu.com/item/%E8%A7%A3%E7%90%86" \t "https://baike.baidu.com/item/%E7%9F%B3%E5%A2%A8/_blank" </w:instrText>
                  </w:r>
                  <w:r>
                    <w:fldChar w:fldCharType="separate"/>
                  </w:r>
                  <w:r>
                    <w:rPr>
                      <w:rStyle w:val="32"/>
                    </w:rPr>
                    <w:t>解理</w:t>
                  </w:r>
                  <w:r>
                    <w:rPr>
                      <w:rStyle w:val="32"/>
                    </w:rPr>
                    <w:fldChar w:fldCharType="end"/>
                  </w:r>
                  <w:r>
                    <w:rPr>
                      <w:rStyle w:val="32"/>
                    </w:rPr>
                    <w:t>。</w:t>
                  </w:r>
                  <w:r>
                    <w:fldChar w:fldCharType="begin"/>
                  </w:r>
                  <w:r>
                    <w:instrText xml:space="preserve"> HYPERLINK "https://baike.baidu.com/item/%E8%A7%A3%E7%90%86%E9%9D%A2" \t "https://baike.baidu.com/item/%E7%9F%B3%E5%A2%A8/_blank" </w:instrText>
                  </w:r>
                  <w:r>
                    <w:fldChar w:fldCharType="separate"/>
                  </w:r>
                  <w:r>
                    <w:rPr>
                      <w:rStyle w:val="32"/>
                    </w:rPr>
                    <w:t>解理面</w:t>
                  </w:r>
                  <w:r>
                    <w:rPr>
                      <w:rStyle w:val="32"/>
                    </w:rPr>
                    <w:fldChar w:fldCharType="end"/>
                  </w:r>
                  <w:r>
                    <w:rPr>
                      <w:rStyle w:val="32"/>
                    </w:rPr>
                    <w:t>以</w:t>
                  </w:r>
                  <w:r>
                    <w:fldChar w:fldCharType="begin"/>
                  </w:r>
                  <w:r>
                    <w:instrText xml:space="preserve"> HYPERLINK "https://baike.baidu.com/item/%E5%88%86%E5%AD%90%E9%94%AE" \t "https://baike.baidu.com/item/%E7%9F%B3%E5%A2%A8/_blank" </w:instrText>
                  </w:r>
                  <w:r>
                    <w:fldChar w:fldCharType="separate"/>
                  </w:r>
                  <w:r>
                    <w:rPr>
                      <w:rStyle w:val="32"/>
                    </w:rPr>
                    <w:t>分子键</w:t>
                  </w:r>
                  <w:r>
                    <w:rPr>
                      <w:rStyle w:val="32"/>
                    </w:rPr>
                    <w:fldChar w:fldCharType="end"/>
                  </w:r>
                  <w:r>
                    <w:rPr>
                      <w:rStyle w:val="32"/>
                    </w:rPr>
                    <w:t>为主，对分子吸引力较弱，故其天然可浮性很好。</w:t>
                  </w:r>
                </w:p>
                <w:p>
                  <w:pPr>
                    <w:pStyle w:val="36"/>
                    <w:spacing w:line="240" w:lineRule="auto"/>
                    <w:ind w:firstLine="0" w:firstLineChars="0"/>
                    <w:jc w:val="left"/>
                    <w:rPr>
                      <w:rStyle w:val="32"/>
                    </w:rPr>
                  </w:pPr>
                  <w:r>
                    <w:rPr>
                      <w:rStyle w:val="32"/>
                      <w:rFonts w:hint="eastAsia"/>
                    </w:rPr>
                    <w:t>常温下单质碳的化学性质比较稳定，不溶于水、稀酸、</w:t>
                  </w:r>
                  <w:r>
                    <w:rPr>
                      <w:rStyle w:val="32"/>
                    </w:rPr>
                    <w:t>稀碱和</w:t>
                  </w:r>
                  <w:r>
                    <w:fldChar w:fldCharType="begin"/>
                  </w:r>
                  <w:r>
                    <w:instrText xml:space="preserve"> HYPERLINK "https://baike.baidu.com/item/%E6%9C%89%E6%9C%BA%E6%BA%B6%E5%89%82" \t "https://baike.baidu.com/item/%E7%9F%B3%E5%A2%A8/_blank" </w:instrText>
                  </w:r>
                  <w:r>
                    <w:fldChar w:fldCharType="separate"/>
                  </w:r>
                  <w:r>
                    <w:rPr>
                      <w:rStyle w:val="32"/>
                    </w:rPr>
                    <w:t>有机溶剂</w:t>
                  </w:r>
                  <w:r>
                    <w:rPr>
                      <w:rStyle w:val="32"/>
                    </w:rPr>
                    <w:fldChar w:fldCharType="end"/>
                  </w:r>
                  <w:r>
                    <w:rPr>
                      <w:rStyle w:val="32"/>
                    </w:rPr>
                    <w:t>；高温下与氧反应燃烧，生成二氧化碳或一氧化碳；在</w:t>
                  </w:r>
                  <w:r>
                    <w:fldChar w:fldCharType="begin"/>
                  </w:r>
                  <w:r>
                    <w:instrText xml:space="preserve"> HYPERLINK "https://baike.baidu.com/item/%E5%8D%A4%E7%B4%A0" \t "https://baike.baidu.com/item/%E7%9F%B3%E5%A2%A8/_blank" </w:instrText>
                  </w:r>
                  <w:r>
                    <w:fldChar w:fldCharType="separate"/>
                  </w:r>
                  <w:r>
                    <w:rPr>
                      <w:rStyle w:val="32"/>
                    </w:rPr>
                    <w:t>卤素</w:t>
                  </w:r>
                  <w:r>
                    <w:rPr>
                      <w:rStyle w:val="32"/>
                    </w:rPr>
                    <w:fldChar w:fldCharType="end"/>
                  </w:r>
                  <w:r>
                    <w:rPr>
                      <w:rStyle w:val="32"/>
                    </w:rPr>
                    <w:t>中只有氟能与单质碳直接反应；在加热下，单质碳较易被酸氧化；在高温下，碳还能与许多金属反应，生成金属</w:t>
                  </w:r>
                  <w:r>
                    <w:fldChar w:fldCharType="begin"/>
                  </w:r>
                  <w:r>
                    <w:instrText xml:space="preserve"> HYPERLINK "https://baike.baidu.com/item/%E7%A2%B3%E5%8C%96%E7%89%A9" \t "https://baike.baidu.com/item/%E7%9F%B3%E5%A2%A8/_blank" </w:instrText>
                  </w:r>
                  <w:r>
                    <w:fldChar w:fldCharType="separate"/>
                  </w:r>
                  <w:r>
                    <w:rPr>
                      <w:rStyle w:val="32"/>
                    </w:rPr>
                    <w:t>碳化物</w:t>
                  </w:r>
                  <w:r>
                    <w:rPr>
                      <w:rStyle w:val="32"/>
                    </w:rPr>
                    <w:fldChar w:fldCharType="end"/>
                  </w:r>
                  <w:r>
                    <w:rPr>
                      <w:rStyle w:val="32"/>
                    </w:rPr>
                    <w:t>。碳具有</w:t>
                  </w:r>
                  <w:r>
                    <w:fldChar w:fldCharType="begin"/>
                  </w:r>
                  <w:r>
                    <w:instrText xml:space="preserve"> HYPERLINK "https://baike.baidu.com/item/%E8%BF%98%E5%8E%9F%E6%80%A7" \t "https://baike.baidu.com/item/%E7%9F%B3%E5%A2%A8/_blank" </w:instrText>
                  </w:r>
                  <w:r>
                    <w:fldChar w:fldCharType="separate"/>
                  </w:r>
                  <w:r>
                    <w:rPr>
                      <w:rStyle w:val="32"/>
                    </w:rPr>
                    <w:t>还原性</w:t>
                  </w:r>
                  <w:r>
                    <w:rPr>
                      <w:rStyle w:val="32"/>
                    </w:rPr>
                    <w:fldChar w:fldCharType="end"/>
                  </w:r>
                  <w:r>
                    <w:rPr>
                      <w:rStyle w:val="32"/>
                    </w:rPr>
                    <w:t>，在高温下可以冶炼金属。此外，近年的研究发现，石墨可以被氯磺酸溶解，形成单层石墨烯的氯磺酸“溶液”。</w:t>
                  </w:r>
                </w:p>
              </w:tc>
              <w:tc>
                <w:tcPr>
                  <w:tcW w:w="660" w:type="dxa"/>
                  <w:vAlign w:val="center"/>
                </w:tcPr>
                <w:p>
                  <w:pPr>
                    <w:pStyle w:val="36"/>
                    <w:spacing w:line="240" w:lineRule="auto"/>
                    <w:ind w:firstLine="0" w:firstLineChars="0"/>
                    <w:jc w:val="left"/>
                    <w:rPr>
                      <w:rStyle w:val="32"/>
                    </w:rPr>
                  </w:pPr>
                  <w:r>
                    <w:rPr>
                      <w:rStyle w:val="32"/>
                    </w:rPr>
                    <w:t>-</w:t>
                  </w:r>
                </w:p>
              </w:tc>
              <w:tc>
                <w:tcPr>
                  <w:tcW w:w="780" w:type="dxa"/>
                  <w:vAlign w:val="center"/>
                </w:tcPr>
                <w:p>
                  <w:pPr>
                    <w:pStyle w:val="36"/>
                    <w:spacing w:line="240" w:lineRule="auto"/>
                    <w:ind w:firstLine="0" w:firstLineChars="0"/>
                    <w:jc w:val="left"/>
                    <w:rPr>
                      <w:rStyle w:val="32"/>
                    </w:rPr>
                  </w:pPr>
                  <w:r>
                    <w:rPr>
                      <w:rStyle w:val="32"/>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81" w:hRule="atLeast"/>
              </w:trPr>
              <w:tc>
                <w:tcPr>
                  <w:tcW w:w="680" w:type="dxa"/>
                  <w:tcMar>
                    <w:left w:w="0" w:type="dxa"/>
                    <w:right w:w="0" w:type="dxa"/>
                  </w:tcMar>
                  <w:vAlign w:val="center"/>
                </w:tcPr>
                <w:p>
                  <w:pPr>
                    <w:pStyle w:val="36"/>
                    <w:spacing w:line="240" w:lineRule="auto"/>
                    <w:ind w:firstLine="0" w:firstLineChars="0"/>
                    <w:jc w:val="center"/>
                    <w:rPr>
                      <w:rStyle w:val="32"/>
                    </w:rPr>
                  </w:pPr>
                  <w:r>
                    <w:rPr>
                      <w:rStyle w:val="32"/>
                    </w:rPr>
                    <w:t>聚磷</w:t>
                  </w:r>
                </w:p>
                <w:p>
                  <w:pPr>
                    <w:pStyle w:val="36"/>
                    <w:spacing w:line="240" w:lineRule="auto"/>
                    <w:ind w:firstLine="0" w:firstLineChars="0"/>
                    <w:jc w:val="center"/>
                    <w:rPr>
                      <w:rStyle w:val="32"/>
                    </w:rPr>
                  </w:pPr>
                  <w:r>
                    <w:rPr>
                      <w:rStyle w:val="32"/>
                    </w:rPr>
                    <w:t>酸铵</w:t>
                  </w:r>
                </w:p>
              </w:tc>
              <w:tc>
                <w:tcPr>
                  <w:tcW w:w="1290" w:type="dxa"/>
                  <w:tcMar>
                    <w:left w:w="0" w:type="dxa"/>
                    <w:right w:w="0" w:type="dxa"/>
                  </w:tcMar>
                  <w:vAlign w:val="center"/>
                </w:tcPr>
                <w:p>
                  <w:pPr>
                    <w:pStyle w:val="36"/>
                    <w:spacing w:line="240" w:lineRule="auto"/>
                    <w:ind w:firstLine="0" w:firstLineChars="0"/>
                    <w:jc w:val="center"/>
                    <w:rPr>
                      <w:rStyle w:val="32"/>
                    </w:rPr>
                  </w:pPr>
                  <w:r>
                    <w:rPr>
                      <w:rStyle w:val="32"/>
                      <w:rFonts w:hint="eastAsia"/>
                    </w:rPr>
                    <w:t>（NH4PO3）n</w:t>
                  </w:r>
                </w:p>
              </w:tc>
              <w:tc>
                <w:tcPr>
                  <w:tcW w:w="4950" w:type="dxa"/>
                  <w:tcMar>
                    <w:left w:w="0" w:type="dxa"/>
                    <w:right w:w="0" w:type="dxa"/>
                  </w:tcMar>
                  <w:vAlign w:val="center"/>
                </w:tcPr>
                <w:p>
                  <w:pPr>
                    <w:pStyle w:val="36"/>
                    <w:spacing w:line="240" w:lineRule="auto"/>
                    <w:ind w:firstLine="0" w:firstLineChars="0"/>
                    <w:jc w:val="left"/>
                    <w:rPr>
                      <w:rStyle w:val="32"/>
                    </w:rPr>
                  </w:pPr>
                  <w:r>
                    <w:rPr>
                      <w:rStyle w:val="32"/>
                      <w:rFonts w:hint="eastAsia"/>
                    </w:rPr>
                    <w:t>高聚合度结晶</w:t>
                  </w:r>
                  <w:r>
                    <w:rPr>
                      <w:rStyle w:val="32"/>
                    </w:rPr>
                    <w:fldChar w:fldCharType="begin"/>
                  </w:r>
                  <w:r>
                    <w:rPr>
                      <w:rStyle w:val="32"/>
                    </w:rPr>
                    <w:instrText xml:space="preserve"> = 2 \* ROMAN \* MERGEFORMAT </w:instrText>
                  </w:r>
                  <w:r>
                    <w:rPr>
                      <w:rStyle w:val="32"/>
                    </w:rPr>
                    <w:fldChar w:fldCharType="separate"/>
                  </w:r>
                  <w:r>
                    <w:rPr>
                      <w:rStyle w:val="32"/>
                    </w:rPr>
                    <w:t>II</w:t>
                  </w:r>
                  <w:r>
                    <w:rPr>
                      <w:rStyle w:val="32"/>
                    </w:rPr>
                    <w:fldChar w:fldCharType="end"/>
                  </w:r>
                  <w:r>
                    <w:rPr>
                      <w:rStyle w:val="32"/>
                      <w:rFonts w:hint="eastAsia"/>
                    </w:rPr>
                    <w:t>型聚磷酸铵，聚合度大于1000。分子式为（NH4PO3）n，为水不溶性无分支直链聚合物，显微镜下呈六方柱形，产品属含磷无机阻燃添加剂系列的重要分支。产品P和N含量高，热稳定性和化学稳定性能好，水溶性和吸潮性小，产品接近中性，毒性低（LD≥10g/kg）。应用过程中具有不挥发性，不产生腐蚀性气体，效果持久，安全性能好等优点。</w:t>
                  </w:r>
                </w:p>
                <w:p>
                  <w:pPr>
                    <w:pStyle w:val="36"/>
                    <w:spacing w:line="240" w:lineRule="auto"/>
                    <w:ind w:firstLine="0" w:firstLineChars="0"/>
                    <w:jc w:val="left"/>
                    <w:rPr>
                      <w:rStyle w:val="32"/>
                    </w:rPr>
                  </w:pPr>
                  <w:r>
                    <w:rPr>
                      <w:rStyle w:val="32"/>
                      <w:rFonts w:hint="eastAsia"/>
                    </w:rPr>
                    <w:t>聚磷酸铵的的含磷量高达30%-32%，含氮为14%-16%。这类阻燃剂最突出的特征是燃烧时的生烟量极低，不产生卤化氢。由于聚磷酸铵热稳定性好，可替代磷酸铵。</w:t>
                  </w:r>
                </w:p>
                <w:p>
                  <w:pPr>
                    <w:pStyle w:val="36"/>
                    <w:spacing w:line="240" w:lineRule="auto"/>
                    <w:ind w:firstLine="0" w:firstLineChars="0"/>
                    <w:jc w:val="left"/>
                    <w:rPr>
                      <w:rStyle w:val="32"/>
                    </w:rPr>
                  </w:pPr>
                  <w:r>
                    <w:rPr>
                      <w:rStyle w:val="32"/>
                      <w:rFonts w:hint="eastAsia"/>
                    </w:rPr>
                    <w:t>聚磷酸铵为白色结晶或无定型微细粉末。常用的结晶态APP为水不溶性长链状聚磷酸铵盐。APP含磷量大、含氯量高，磷氮体系产生协同效应，阻燃性好。相对密度小，分散性好，化学稳定性好、消烟、毒性低。</w:t>
                  </w:r>
                </w:p>
              </w:tc>
              <w:tc>
                <w:tcPr>
                  <w:tcW w:w="660" w:type="dxa"/>
                  <w:vAlign w:val="center"/>
                </w:tcPr>
                <w:p>
                  <w:pPr>
                    <w:pStyle w:val="36"/>
                    <w:spacing w:line="240" w:lineRule="auto"/>
                    <w:ind w:firstLine="0" w:firstLineChars="0"/>
                    <w:jc w:val="left"/>
                    <w:rPr>
                      <w:rStyle w:val="32"/>
                    </w:rPr>
                  </w:pPr>
                  <w:r>
                    <w:rPr>
                      <w:rStyle w:val="32"/>
                      <w:rFonts w:hint="eastAsia"/>
                    </w:rPr>
                    <w:t>毒性低（LD≥10g/kg）</w:t>
                  </w:r>
                </w:p>
              </w:tc>
              <w:tc>
                <w:tcPr>
                  <w:tcW w:w="780" w:type="dxa"/>
                  <w:vAlign w:val="center"/>
                </w:tcPr>
                <w:p>
                  <w:pPr>
                    <w:pStyle w:val="36"/>
                    <w:spacing w:line="240" w:lineRule="auto"/>
                    <w:ind w:firstLine="0" w:firstLineChars="0"/>
                    <w:jc w:val="left"/>
                    <w:rPr>
                      <w:rStyle w:val="32"/>
                    </w:rPr>
                  </w:pPr>
                  <w:r>
                    <w:rPr>
                      <w:rStyle w:val="32"/>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596" w:hRule="atLeast"/>
              </w:trPr>
              <w:tc>
                <w:tcPr>
                  <w:tcW w:w="680" w:type="dxa"/>
                  <w:tcMar>
                    <w:left w:w="0" w:type="dxa"/>
                    <w:right w:w="0" w:type="dxa"/>
                  </w:tcMar>
                  <w:vAlign w:val="center"/>
                </w:tcPr>
                <w:p>
                  <w:pPr>
                    <w:pStyle w:val="36"/>
                    <w:spacing w:line="240" w:lineRule="auto"/>
                    <w:ind w:firstLine="0" w:firstLineChars="0"/>
                    <w:jc w:val="center"/>
                    <w:rPr>
                      <w:rStyle w:val="32"/>
                    </w:rPr>
                  </w:pPr>
                  <w:r>
                    <w:rPr>
                      <w:rStyle w:val="32"/>
                      <w:rFonts w:hint="eastAsia"/>
                    </w:rPr>
                    <w:t>阳离子氯丁乳胶</w:t>
                  </w:r>
                </w:p>
              </w:tc>
              <w:tc>
                <w:tcPr>
                  <w:tcW w:w="1290" w:type="dxa"/>
                  <w:tcMar>
                    <w:left w:w="0" w:type="dxa"/>
                    <w:right w:w="0" w:type="dxa"/>
                  </w:tcMar>
                  <w:vAlign w:val="center"/>
                </w:tcPr>
                <w:p>
                  <w:pPr>
                    <w:pStyle w:val="36"/>
                    <w:spacing w:line="240" w:lineRule="auto"/>
                    <w:ind w:firstLine="0" w:firstLineChars="0"/>
                    <w:jc w:val="center"/>
                    <w:rPr>
                      <w:rStyle w:val="32"/>
                    </w:rPr>
                  </w:pPr>
                  <w:r>
                    <w:rPr>
                      <w:rStyle w:val="32"/>
                      <w:rFonts w:hint="eastAsia"/>
                    </w:rPr>
                    <w:t>-</w:t>
                  </w:r>
                </w:p>
              </w:tc>
              <w:tc>
                <w:tcPr>
                  <w:tcW w:w="4950" w:type="dxa"/>
                  <w:tcMar>
                    <w:left w:w="0" w:type="dxa"/>
                    <w:right w:w="0" w:type="dxa"/>
                  </w:tcMar>
                </w:tcPr>
                <w:p>
                  <w:pPr>
                    <w:pStyle w:val="36"/>
                    <w:spacing w:line="240" w:lineRule="auto"/>
                    <w:ind w:firstLine="0" w:firstLineChars="0"/>
                    <w:jc w:val="left"/>
                    <w:rPr>
                      <w:rStyle w:val="32"/>
                    </w:rPr>
                  </w:pPr>
                </w:p>
                <w:p>
                  <w:pPr>
                    <w:pStyle w:val="36"/>
                    <w:spacing w:line="240" w:lineRule="auto"/>
                    <w:ind w:firstLine="0" w:firstLineChars="0"/>
                    <w:jc w:val="left"/>
                    <w:rPr>
                      <w:rStyle w:val="32"/>
                    </w:rPr>
                  </w:pPr>
                  <w:r>
                    <w:rPr>
                      <w:rStyle w:val="32"/>
                      <w:rFonts w:hint="eastAsia"/>
                    </w:rPr>
                    <w:t>阳离子氯丁胶乳是由高分子</w:t>
                  </w:r>
                  <w:r>
                    <w:fldChar w:fldCharType="begin"/>
                  </w:r>
                  <w:r>
                    <w:instrText xml:space="preserve"> HYPERLINK "https://baike.baidu.com/item/%E8%81%9A%E5%90%88%E7%89%A9" \t "https://baike.baidu.com/item/%E9%98%B3%E7%A6%BB%E5%AD%90%E6%B0%AF%E4%B8%81%E8%83%B6%E4%B9%B3/_blank" </w:instrText>
                  </w:r>
                  <w:r>
                    <w:fldChar w:fldCharType="separate"/>
                  </w:r>
                  <w:r>
                    <w:rPr>
                      <w:rStyle w:val="32"/>
                    </w:rPr>
                    <w:t>聚合物</w:t>
                  </w:r>
                  <w:r>
                    <w:rPr>
                      <w:rStyle w:val="32"/>
                    </w:rPr>
                    <w:fldChar w:fldCharType="end"/>
                  </w:r>
                  <w:r>
                    <w:rPr>
                      <w:rStyle w:val="32"/>
                    </w:rPr>
                    <w:t>、特种胶凝材料、优质骨料按特殊工艺混合而成，</w:t>
                  </w:r>
                  <w:r>
                    <w:rPr>
                      <w:rStyle w:val="32"/>
                      <w:rFonts w:hint="eastAsia"/>
                    </w:rPr>
                    <w:t>粘性：10~55（25℃，pa s）　</w:t>
                  </w:r>
                  <w:r>
                    <w:rPr>
                      <w:rStyle w:val="32"/>
                    </w:rPr>
                    <w:br w:type="textWrapping"/>
                  </w:r>
                  <w:r>
                    <w:rPr>
                      <w:rStyle w:val="32"/>
                    </w:rPr>
                    <w:t>总固物含量：≥47</w:t>
                  </w:r>
                  <w:r>
                    <w:rPr>
                      <w:rStyle w:val="32"/>
                      <w:rFonts w:hint="eastAsia"/>
                    </w:rPr>
                    <w:t>，</w:t>
                  </w:r>
                  <w:r>
                    <w:rPr>
                      <w:rStyle w:val="32"/>
                    </w:rPr>
                    <w:t>密度：≥1.080</w:t>
                  </w:r>
                  <w:r>
                    <w:rPr>
                      <w:rStyle w:val="32"/>
                      <w:rFonts w:hint="eastAsia"/>
                    </w:rPr>
                    <w:t>，</w:t>
                  </w:r>
                  <w:r>
                    <w:rPr>
                      <w:rStyle w:val="32"/>
                    </w:rPr>
                    <w:t>贮存稳定性：5~40℃，3个月无明显沉淀(当温差过大或气温过低时，会有轻微分层，使用时需搅拌均匀)外观：乳白色均匀乳液</w:t>
                  </w:r>
                  <w:r>
                    <w:rPr>
                      <w:rStyle w:val="32"/>
                      <w:rFonts w:hint="eastAsia"/>
                    </w:rPr>
                    <w:t>。</w:t>
                  </w:r>
                  <w:r>
                    <w:rPr>
                      <w:rStyle w:val="32"/>
                    </w:rPr>
                    <w:t>该砂浆具有优异的粘结、抗裂、抗冻、防渗、防腐、抗氯离子渗透、耐磨、耐老化等性能，</w:t>
                  </w:r>
                </w:p>
                <w:p>
                  <w:pPr>
                    <w:pStyle w:val="36"/>
                    <w:spacing w:line="240" w:lineRule="auto"/>
                    <w:ind w:firstLine="0" w:firstLineChars="0"/>
                    <w:jc w:val="left"/>
                    <w:rPr>
                      <w:rStyle w:val="32"/>
                    </w:rPr>
                  </w:pPr>
                </w:p>
              </w:tc>
              <w:tc>
                <w:tcPr>
                  <w:tcW w:w="660" w:type="dxa"/>
                  <w:vAlign w:val="center"/>
                </w:tcPr>
                <w:p>
                  <w:pPr>
                    <w:pStyle w:val="36"/>
                    <w:spacing w:line="240" w:lineRule="auto"/>
                    <w:ind w:firstLine="0" w:firstLineChars="0"/>
                    <w:jc w:val="left"/>
                    <w:rPr>
                      <w:rStyle w:val="32"/>
                    </w:rPr>
                  </w:pPr>
                  <w:r>
                    <w:rPr>
                      <w:rStyle w:val="32"/>
                    </w:rPr>
                    <w:t>-</w:t>
                  </w:r>
                </w:p>
              </w:tc>
              <w:tc>
                <w:tcPr>
                  <w:tcW w:w="780" w:type="dxa"/>
                  <w:vAlign w:val="center"/>
                </w:tcPr>
                <w:p>
                  <w:pPr>
                    <w:pStyle w:val="36"/>
                    <w:spacing w:line="240" w:lineRule="auto"/>
                    <w:ind w:firstLine="0" w:firstLineChars="0"/>
                    <w:jc w:val="left"/>
                    <w:rPr>
                      <w:rStyle w:val="32"/>
                    </w:rPr>
                  </w:pPr>
                  <w:r>
                    <w:rPr>
                      <w:rStyle w:val="32"/>
                    </w:rPr>
                    <w:t>-</w:t>
                  </w:r>
                </w:p>
              </w:tc>
            </w:tr>
          </w:tbl>
          <w:p>
            <w:pPr>
              <w:adjustRightInd w:val="0"/>
              <w:snapToGrid w:val="0"/>
              <w:spacing w:line="360" w:lineRule="auto"/>
              <w:rPr>
                <w:rFonts w:eastAsia="仿宋_GB2312"/>
                <w:b/>
                <w:sz w:val="24"/>
                <w:szCs w:val="24"/>
              </w:rPr>
            </w:pPr>
          </w:p>
          <w:p>
            <w:pPr>
              <w:pStyle w:val="36"/>
              <w:spacing w:line="360" w:lineRule="auto"/>
              <w:ind w:firstLine="482"/>
              <w:rPr>
                <w:rFonts w:ascii="宋体" w:hAnsi="宋体"/>
                <w:b/>
                <w:szCs w:val="24"/>
              </w:rPr>
            </w:pPr>
            <w:r>
              <w:rPr>
                <w:rFonts w:ascii="宋体" w:hAnsi="宋体"/>
                <w:b/>
                <w:szCs w:val="24"/>
              </w:rPr>
              <w:t>6</w:t>
            </w:r>
            <w:r>
              <w:rPr>
                <w:rFonts w:hint="eastAsia" w:ascii="宋体" w:hAnsi="宋体"/>
                <w:b/>
                <w:szCs w:val="24"/>
              </w:rPr>
              <w:t>.</w:t>
            </w:r>
            <w:r>
              <w:rPr>
                <w:rFonts w:ascii="宋体" w:hAnsi="宋体"/>
                <w:b/>
                <w:szCs w:val="24"/>
              </w:rPr>
              <w:t>主要生产设备</w:t>
            </w:r>
          </w:p>
          <w:p>
            <w:pPr>
              <w:pStyle w:val="12"/>
              <w:adjustRightInd w:val="0"/>
              <w:snapToGrid w:val="0"/>
              <w:spacing w:after="0" w:line="360" w:lineRule="auto"/>
              <w:ind w:left="0" w:leftChars="0" w:firstLine="480" w:firstLineChars="200"/>
              <w:rPr>
                <w:rFonts w:eastAsia="宋体"/>
                <w:b/>
                <w:sz w:val="21"/>
                <w:szCs w:val="21"/>
              </w:rPr>
            </w:pPr>
            <w:r>
              <w:rPr>
                <w:rFonts w:hint="eastAsia" w:eastAsia="宋体"/>
                <w:bCs/>
                <w:sz w:val="24"/>
                <w:szCs w:val="24"/>
              </w:rPr>
              <w:t>本项目主要生产设备见表</w:t>
            </w:r>
            <w:r>
              <w:rPr>
                <w:rFonts w:eastAsia="宋体"/>
                <w:bCs/>
                <w:sz w:val="24"/>
                <w:szCs w:val="24"/>
              </w:rPr>
              <w:t>1-3</w:t>
            </w:r>
            <w:r>
              <w:rPr>
                <w:rFonts w:hint="eastAsia" w:eastAsia="宋体"/>
                <w:bCs/>
                <w:sz w:val="24"/>
                <w:szCs w:val="24"/>
              </w:rPr>
              <w:t>。</w:t>
            </w:r>
          </w:p>
          <w:p>
            <w:pPr>
              <w:pStyle w:val="93"/>
            </w:pPr>
            <w:r>
              <w:t>表1-3      主要</w:t>
            </w:r>
            <w:r>
              <w:rPr>
                <w:rFonts w:hint="eastAsia"/>
              </w:rPr>
              <w:t>生产设备一览表</w:t>
            </w:r>
          </w:p>
          <w:tbl>
            <w:tblPr>
              <w:tblStyle w:val="26"/>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313"/>
              <w:gridCol w:w="3659"/>
              <w:gridCol w:w="1217"/>
              <w:gridCol w:w="190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3" w:hRule="atLeast"/>
                <w:jc w:val="center"/>
              </w:trPr>
              <w:tc>
                <w:tcPr>
                  <w:tcW w:w="1313" w:type="dxa"/>
                  <w:vAlign w:val="center"/>
                </w:tcPr>
                <w:p>
                  <w:pPr>
                    <w:pStyle w:val="36"/>
                    <w:spacing w:line="240" w:lineRule="auto"/>
                    <w:ind w:firstLine="0" w:firstLineChars="0"/>
                    <w:jc w:val="center"/>
                    <w:rPr>
                      <w:rStyle w:val="32"/>
                    </w:rPr>
                  </w:pPr>
                  <w:r>
                    <w:rPr>
                      <w:rStyle w:val="32"/>
                      <w:rFonts w:hint="eastAsia"/>
                    </w:rPr>
                    <w:t>序号</w:t>
                  </w:r>
                </w:p>
              </w:tc>
              <w:tc>
                <w:tcPr>
                  <w:tcW w:w="3659" w:type="dxa"/>
                  <w:vAlign w:val="center"/>
                </w:tcPr>
                <w:p>
                  <w:pPr>
                    <w:pStyle w:val="36"/>
                    <w:spacing w:line="240" w:lineRule="auto"/>
                    <w:ind w:firstLine="0" w:firstLineChars="0"/>
                    <w:jc w:val="center"/>
                    <w:rPr>
                      <w:rStyle w:val="32"/>
                    </w:rPr>
                  </w:pPr>
                  <w:r>
                    <w:rPr>
                      <w:rStyle w:val="32"/>
                      <w:rFonts w:hint="eastAsia"/>
                    </w:rPr>
                    <w:t>设备名称</w:t>
                  </w:r>
                </w:p>
              </w:tc>
              <w:tc>
                <w:tcPr>
                  <w:tcW w:w="1217" w:type="dxa"/>
                  <w:vAlign w:val="center"/>
                </w:tcPr>
                <w:p>
                  <w:pPr>
                    <w:pStyle w:val="36"/>
                    <w:spacing w:line="240" w:lineRule="auto"/>
                    <w:ind w:firstLine="0" w:firstLineChars="0"/>
                    <w:jc w:val="center"/>
                    <w:rPr>
                      <w:rStyle w:val="32"/>
                    </w:rPr>
                  </w:pPr>
                  <w:r>
                    <w:rPr>
                      <w:rStyle w:val="32"/>
                      <w:rFonts w:hint="eastAsia"/>
                    </w:rPr>
                    <w:t>单位</w:t>
                  </w:r>
                </w:p>
              </w:tc>
              <w:tc>
                <w:tcPr>
                  <w:tcW w:w="1906" w:type="dxa"/>
                  <w:vAlign w:val="center"/>
                </w:tcPr>
                <w:p>
                  <w:pPr>
                    <w:pStyle w:val="36"/>
                    <w:spacing w:line="240" w:lineRule="auto"/>
                    <w:ind w:firstLine="0" w:firstLineChars="0"/>
                    <w:jc w:val="center"/>
                    <w:rPr>
                      <w:rStyle w:val="32"/>
                    </w:rPr>
                  </w:pPr>
                  <w:r>
                    <w:rPr>
                      <w:rStyle w:val="32"/>
                      <w:rFonts w:hint="eastAsia"/>
                    </w:rPr>
                    <w:t>数量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3" w:hRule="atLeast"/>
                <w:jc w:val="center"/>
              </w:trPr>
              <w:tc>
                <w:tcPr>
                  <w:tcW w:w="1313" w:type="dxa"/>
                  <w:shd w:val="clear" w:color="000000" w:fill="FFFFFF"/>
                  <w:vAlign w:val="center"/>
                </w:tcPr>
                <w:p>
                  <w:pPr>
                    <w:pStyle w:val="36"/>
                    <w:spacing w:line="240" w:lineRule="auto"/>
                    <w:ind w:firstLine="0" w:firstLineChars="0"/>
                    <w:jc w:val="center"/>
                    <w:rPr>
                      <w:rStyle w:val="32"/>
                    </w:rPr>
                  </w:pPr>
                  <w:r>
                    <w:rPr>
                      <w:rStyle w:val="32"/>
                    </w:rPr>
                    <w:t>1</w:t>
                  </w:r>
                </w:p>
              </w:tc>
              <w:tc>
                <w:tcPr>
                  <w:tcW w:w="3659" w:type="dxa"/>
                </w:tcPr>
                <w:p>
                  <w:pPr>
                    <w:pStyle w:val="36"/>
                    <w:spacing w:line="240" w:lineRule="auto"/>
                    <w:ind w:firstLine="0" w:firstLineChars="0"/>
                    <w:jc w:val="center"/>
                    <w:rPr>
                      <w:rStyle w:val="32"/>
                    </w:rPr>
                  </w:pPr>
                  <w:r>
                    <w:rPr>
                      <w:rStyle w:val="32"/>
                      <w:rFonts w:hint="eastAsia"/>
                    </w:rPr>
                    <w:t>搅拌机</w:t>
                  </w:r>
                </w:p>
              </w:tc>
              <w:tc>
                <w:tcPr>
                  <w:tcW w:w="1217" w:type="dxa"/>
                  <w:vAlign w:val="center"/>
                </w:tcPr>
                <w:p>
                  <w:pPr>
                    <w:pStyle w:val="36"/>
                    <w:spacing w:line="240" w:lineRule="auto"/>
                    <w:ind w:firstLine="0" w:firstLineChars="0"/>
                    <w:jc w:val="center"/>
                    <w:rPr>
                      <w:rStyle w:val="32"/>
                    </w:rPr>
                  </w:pPr>
                  <w:r>
                    <w:rPr>
                      <w:rStyle w:val="32"/>
                    </w:rPr>
                    <w:t>台</w:t>
                  </w:r>
                </w:p>
              </w:tc>
              <w:tc>
                <w:tcPr>
                  <w:tcW w:w="1906" w:type="dxa"/>
                  <w:vAlign w:val="center"/>
                </w:tcPr>
                <w:p>
                  <w:pPr>
                    <w:pStyle w:val="36"/>
                    <w:spacing w:line="240" w:lineRule="auto"/>
                    <w:ind w:firstLine="0" w:firstLineChars="0"/>
                    <w:jc w:val="center"/>
                    <w:rPr>
                      <w:rStyle w:val="32"/>
                    </w:rPr>
                  </w:pPr>
                  <w:r>
                    <w:rPr>
                      <w:rStyle w:val="32"/>
                      <w:rFonts w:hint="eastAsia"/>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2" w:hRule="atLeast"/>
                <w:jc w:val="center"/>
              </w:trPr>
              <w:tc>
                <w:tcPr>
                  <w:tcW w:w="1313" w:type="dxa"/>
                  <w:shd w:val="clear" w:color="000000" w:fill="FFFFFF"/>
                  <w:vAlign w:val="center"/>
                </w:tcPr>
                <w:p>
                  <w:pPr>
                    <w:pStyle w:val="36"/>
                    <w:spacing w:line="240" w:lineRule="auto"/>
                    <w:ind w:firstLine="0" w:firstLineChars="0"/>
                    <w:jc w:val="center"/>
                    <w:rPr>
                      <w:rStyle w:val="32"/>
                    </w:rPr>
                  </w:pPr>
                  <w:r>
                    <w:rPr>
                      <w:rStyle w:val="32"/>
                    </w:rPr>
                    <w:t>2</w:t>
                  </w:r>
                </w:p>
              </w:tc>
              <w:tc>
                <w:tcPr>
                  <w:tcW w:w="3659" w:type="dxa"/>
                  <w:shd w:val="clear" w:color="000000" w:fill="FFFFFF"/>
                </w:tcPr>
                <w:p>
                  <w:pPr>
                    <w:pStyle w:val="36"/>
                    <w:spacing w:line="240" w:lineRule="auto"/>
                    <w:ind w:firstLine="0" w:firstLineChars="0"/>
                    <w:jc w:val="center"/>
                    <w:rPr>
                      <w:rStyle w:val="32"/>
                    </w:rPr>
                  </w:pPr>
                  <w:r>
                    <w:rPr>
                      <w:rStyle w:val="32"/>
                      <w:rFonts w:hint="eastAsia"/>
                    </w:rPr>
                    <w:t>切割机</w:t>
                  </w:r>
                </w:p>
              </w:tc>
              <w:tc>
                <w:tcPr>
                  <w:tcW w:w="1217" w:type="dxa"/>
                  <w:shd w:val="clear" w:color="000000" w:fill="FFFFFF"/>
                  <w:vAlign w:val="center"/>
                </w:tcPr>
                <w:p>
                  <w:pPr>
                    <w:pStyle w:val="36"/>
                    <w:spacing w:line="240" w:lineRule="auto"/>
                    <w:ind w:firstLine="0" w:firstLineChars="0"/>
                    <w:jc w:val="center"/>
                    <w:rPr>
                      <w:rStyle w:val="32"/>
                    </w:rPr>
                  </w:pPr>
                  <w:r>
                    <w:rPr>
                      <w:rStyle w:val="32"/>
                    </w:rPr>
                    <w:t>台</w:t>
                  </w:r>
                </w:p>
              </w:tc>
              <w:tc>
                <w:tcPr>
                  <w:tcW w:w="1906" w:type="dxa"/>
                  <w:shd w:val="clear" w:color="000000" w:fill="FFFFFF"/>
                  <w:vAlign w:val="center"/>
                </w:tcPr>
                <w:p>
                  <w:pPr>
                    <w:pStyle w:val="36"/>
                    <w:spacing w:line="240" w:lineRule="auto"/>
                    <w:ind w:firstLine="0" w:firstLineChars="0"/>
                    <w:jc w:val="center"/>
                    <w:rPr>
                      <w:rStyle w:val="32"/>
                    </w:rPr>
                  </w:pPr>
                  <w:r>
                    <w:rPr>
                      <w:rStyle w:val="32"/>
                      <w:rFonts w:hint="eastAsia"/>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3" w:hRule="atLeast"/>
                <w:jc w:val="center"/>
              </w:trPr>
              <w:tc>
                <w:tcPr>
                  <w:tcW w:w="1313" w:type="dxa"/>
                  <w:shd w:val="clear" w:color="000000" w:fill="FFFFFF"/>
                  <w:vAlign w:val="center"/>
                </w:tcPr>
                <w:p>
                  <w:pPr>
                    <w:pStyle w:val="36"/>
                    <w:spacing w:line="240" w:lineRule="auto"/>
                    <w:ind w:firstLine="0" w:firstLineChars="0"/>
                    <w:jc w:val="center"/>
                    <w:rPr>
                      <w:rStyle w:val="32"/>
                    </w:rPr>
                  </w:pPr>
                  <w:r>
                    <w:rPr>
                      <w:rStyle w:val="32"/>
                    </w:rPr>
                    <w:t>3</w:t>
                  </w:r>
                </w:p>
              </w:tc>
              <w:tc>
                <w:tcPr>
                  <w:tcW w:w="3659" w:type="dxa"/>
                  <w:shd w:val="clear" w:color="000000" w:fill="FFFFFF"/>
                </w:tcPr>
                <w:p>
                  <w:pPr>
                    <w:pStyle w:val="36"/>
                    <w:spacing w:line="240" w:lineRule="auto"/>
                    <w:ind w:firstLine="0" w:firstLineChars="0"/>
                    <w:jc w:val="center"/>
                    <w:rPr>
                      <w:rStyle w:val="32"/>
                    </w:rPr>
                  </w:pPr>
                  <w:r>
                    <w:rPr>
                      <w:rStyle w:val="32"/>
                      <w:rFonts w:hint="eastAsia"/>
                    </w:rPr>
                    <w:t>油压机</w:t>
                  </w:r>
                </w:p>
              </w:tc>
              <w:tc>
                <w:tcPr>
                  <w:tcW w:w="1217" w:type="dxa"/>
                  <w:shd w:val="clear" w:color="000000" w:fill="FFFFFF"/>
                  <w:vAlign w:val="center"/>
                </w:tcPr>
                <w:p>
                  <w:pPr>
                    <w:pStyle w:val="36"/>
                    <w:spacing w:line="240" w:lineRule="auto"/>
                    <w:ind w:firstLine="0" w:firstLineChars="0"/>
                    <w:jc w:val="center"/>
                    <w:rPr>
                      <w:rStyle w:val="32"/>
                    </w:rPr>
                  </w:pPr>
                  <w:r>
                    <w:rPr>
                      <w:rStyle w:val="32"/>
                    </w:rPr>
                    <w:t>台</w:t>
                  </w:r>
                </w:p>
              </w:tc>
              <w:tc>
                <w:tcPr>
                  <w:tcW w:w="1906" w:type="dxa"/>
                  <w:shd w:val="clear" w:color="000000" w:fill="FFFFFF"/>
                  <w:vAlign w:val="center"/>
                </w:tcPr>
                <w:p>
                  <w:pPr>
                    <w:pStyle w:val="36"/>
                    <w:spacing w:line="240" w:lineRule="auto"/>
                    <w:ind w:firstLine="0" w:firstLineChars="0"/>
                    <w:jc w:val="center"/>
                    <w:rPr>
                      <w:rStyle w:val="32"/>
                    </w:rPr>
                  </w:pPr>
                  <w:r>
                    <w:rPr>
                      <w:rStyle w:val="32"/>
                      <w:rFonts w:hint="eastAsia"/>
                    </w:rPr>
                    <w:t>2</w:t>
                  </w:r>
                </w:p>
              </w:tc>
            </w:tr>
          </w:tbl>
          <w:p>
            <w:pPr>
              <w:pStyle w:val="36"/>
              <w:spacing w:line="360" w:lineRule="auto"/>
              <w:ind w:firstLine="482"/>
              <w:rPr>
                <w:rFonts w:ascii="宋体" w:hAnsi="宋体"/>
                <w:b/>
                <w:szCs w:val="24"/>
              </w:rPr>
            </w:pPr>
            <w:r>
              <w:rPr>
                <w:rFonts w:ascii="宋体" w:hAnsi="宋体"/>
                <w:b/>
                <w:szCs w:val="24"/>
              </w:rPr>
              <w:t>7.</w:t>
            </w:r>
            <w:r>
              <w:rPr>
                <w:rFonts w:hint="eastAsia" w:ascii="宋体" w:hAnsi="宋体"/>
                <w:b/>
                <w:szCs w:val="24"/>
              </w:rPr>
              <w:t>能源消耗</w:t>
            </w:r>
          </w:p>
          <w:p>
            <w:pPr>
              <w:pStyle w:val="36"/>
              <w:spacing w:line="360" w:lineRule="auto"/>
              <w:ind w:firstLine="480"/>
              <w:rPr>
                <w:rFonts w:ascii="宋体" w:hAnsi="宋体"/>
              </w:rPr>
            </w:pPr>
            <w:r>
              <w:rPr>
                <w:rFonts w:hint="eastAsia"/>
              </w:rPr>
              <w:t>建设项目消耗能源主要为水和电，具体消耗情况详见表</w:t>
            </w:r>
            <w:r>
              <w:t>1-4</w:t>
            </w:r>
            <w:r>
              <w:rPr>
                <w:rFonts w:hint="eastAsia" w:ascii="宋体" w:hAnsi="宋体"/>
              </w:rPr>
              <w:t>。</w:t>
            </w:r>
          </w:p>
          <w:p>
            <w:pPr>
              <w:pStyle w:val="93"/>
            </w:pPr>
            <w:r>
              <w:t>表1-4      主要</w:t>
            </w:r>
            <w:r>
              <w:rPr>
                <w:rFonts w:hint="eastAsia"/>
              </w:rPr>
              <w:t>能源消耗情况表</w:t>
            </w:r>
          </w:p>
          <w:tbl>
            <w:tblPr>
              <w:tblStyle w:val="26"/>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88"/>
              <w:gridCol w:w="2845"/>
              <w:gridCol w:w="992"/>
              <w:gridCol w:w="297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988" w:type="dxa"/>
                  <w:vAlign w:val="center"/>
                </w:tcPr>
                <w:p>
                  <w:pPr>
                    <w:pStyle w:val="36"/>
                    <w:spacing w:line="240" w:lineRule="auto"/>
                    <w:ind w:firstLine="0" w:firstLineChars="0"/>
                    <w:jc w:val="center"/>
                    <w:rPr>
                      <w:rStyle w:val="32"/>
                    </w:rPr>
                  </w:pPr>
                  <w:r>
                    <w:rPr>
                      <w:rStyle w:val="32"/>
                      <w:rFonts w:hint="eastAsia"/>
                    </w:rPr>
                    <w:t>序号</w:t>
                  </w:r>
                </w:p>
              </w:tc>
              <w:tc>
                <w:tcPr>
                  <w:tcW w:w="2845" w:type="dxa"/>
                  <w:vAlign w:val="center"/>
                </w:tcPr>
                <w:p>
                  <w:pPr>
                    <w:pStyle w:val="36"/>
                    <w:spacing w:line="240" w:lineRule="auto"/>
                    <w:ind w:firstLine="0" w:firstLineChars="0"/>
                    <w:jc w:val="center"/>
                    <w:rPr>
                      <w:rStyle w:val="32"/>
                    </w:rPr>
                  </w:pPr>
                  <w:r>
                    <w:rPr>
                      <w:rStyle w:val="32"/>
                      <w:rFonts w:hint="eastAsia"/>
                    </w:rPr>
                    <w:t>能源名称</w:t>
                  </w:r>
                </w:p>
              </w:tc>
              <w:tc>
                <w:tcPr>
                  <w:tcW w:w="992" w:type="dxa"/>
                  <w:vAlign w:val="center"/>
                </w:tcPr>
                <w:p>
                  <w:pPr>
                    <w:pStyle w:val="36"/>
                    <w:spacing w:line="240" w:lineRule="auto"/>
                    <w:ind w:firstLine="0" w:firstLineChars="0"/>
                    <w:jc w:val="center"/>
                    <w:rPr>
                      <w:rStyle w:val="32"/>
                    </w:rPr>
                  </w:pPr>
                  <w:r>
                    <w:rPr>
                      <w:rStyle w:val="32"/>
                      <w:rFonts w:hint="eastAsia"/>
                    </w:rPr>
                    <w:t>单位</w:t>
                  </w:r>
                </w:p>
              </w:tc>
              <w:tc>
                <w:tcPr>
                  <w:tcW w:w="2977" w:type="dxa"/>
                  <w:vAlign w:val="center"/>
                </w:tcPr>
                <w:p>
                  <w:pPr>
                    <w:pStyle w:val="36"/>
                    <w:spacing w:line="240" w:lineRule="auto"/>
                    <w:ind w:firstLine="0" w:firstLineChars="0"/>
                    <w:jc w:val="center"/>
                    <w:rPr>
                      <w:rStyle w:val="32"/>
                    </w:rPr>
                  </w:pPr>
                  <w:r>
                    <w:rPr>
                      <w:rStyle w:val="32"/>
                      <w:rFonts w:hint="eastAsia"/>
                    </w:rPr>
                    <w:t>消耗量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988" w:type="dxa"/>
                  <w:vAlign w:val="center"/>
                </w:tcPr>
                <w:p>
                  <w:pPr>
                    <w:pStyle w:val="36"/>
                    <w:spacing w:line="240" w:lineRule="auto"/>
                    <w:ind w:firstLine="0" w:firstLineChars="0"/>
                    <w:jc w:val="center"/>
                    <w:rPr>
                      <w:rStyle w:val="32"/>
                    </w:rPr>
                  </w:pPr>
                  <w:r>
                    <w:rPr>
                      <w:rStyle w:val="32"/>
                      <w:rFonts w:hint="eastAsia"/>
                    </w:rPr>
                    <w:t>1</w:t>
                  </w:r>
                </w:p>
              </w:tc>
              <w:tc>
                <w:tcPr>
                  <w:tcW w:w="2845" w:type="dxa"/>
                  <w:vAlign w:val="center"/>
                </w:tcPr>
                <w:p>
                  <w:pPr>
                    <w:pStyle w:val="36"/>
                    <w:spacing w:line="240" w:lineRule="auto"/>
                    <w:ind w:firstLine="0" w:firstLineChars="0"/>
                    <w:jc w:val="center"/>
                    <w:rPr>
                      <w:rStyle w:val="32"/>
                    </w:rPr>
                  </w:pPr>
                  <w:r>
                    <w:rPr>
                      <w:rStyle w:val="32"/>
                      <w:rFonts w:hint="eastAsia"/>
                    </w:rPr>
                    <w:t>水</w:t>
                  </w:r>
                </w:p>
              </w:tc>
              <w:tc>
                <w:tcPr>
                  <w:tcW w:w="992" w:type="dxa"/>
                  <w:vAlign w:val="center"/>
                </w:tcPr>
                <w:p>
                  <w:pPr>
                    <w:pStyle w:val="36"/>
                    <w:spacing w:line="240" w:lineRule="auto"/>
                    <w:ind w:firstLine="0" w:firstLineChars="0"/>
                    <w:jc w:val="center"/>
                    <w:rPr>
                      <w:rStyle w:val="32"/>
                    </w:rPr>
                  </w:pPr>
                  <w:r>
                    <w:rPr>
                      <w:rStyle w:val="32"/>
                    </w:rPr>
                    <w:t>t/a</w:t>
                  </w:r>
                </w:p>
              </w:tc>
              <w:tc>
                <w:tcPr>
                  <w:tcW w:w="2977" w:type="dxa"/>
                  <w:vAlign w:val="center"/>
                </w:tcPr>
                <w:p>
                  <w:pPr>
                    <w:pStyle w:val="36"/>
                    <w:spacing w:line="240" w:lineRule="auto"/>
                    <w:ind w:firstLine="0" w:firstLineChars="0"/>
                    <w:jc w:val="center"/>
                    <w:rPr>
                      <w:rStyle w:val="32"/>
                    </w:rPr>
                  </w:pPr>
                  <w:r>
                    <w:rPr>
                      <w:rStyle w:val="32"/>
                      <w:rFonts w:hint="eastAsia"/>
                    </w:rPr>
                    <w:t>360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988" w:type="dxa"/>
                  <w:vAlign w:val="center"/>
                </w:tcPr>
                <w:p>
                  <w:pPr>
                    <w:pStyle w:val="36"/>
                    <w:spacing w:line="240" w:lineRule="auto"/>
                    <w:ind w:firstLine="0" w:firstLineChars="0"/>
                    <w:jc w:val="center"/>
                    <w:rPr>
                      <w:rStyle w:val="32"/>
                    </w:rPr>
                  </w:pPr>
                  <w:r>
                    <w:rPr>
                      <w:rStyle w:val="32"/>
                      <w:rFonts w:hint="eastAsia"/>
                    </w:rPr>
                    <w:t>2</w:t>
                  </w:r>
                </w:p>
              </w:tc>
              <w:tc>
                <w:tcPr>
                  <w:tcW w:w="2845" w:type="dxa"/>
                  <w:vAlign w:val="center"/>
                </w:tcPr>
                <w:p>
                  <w:pPr>
                    <w:pStyle w:val="36"/>
                    <w:spacing w:line="240" w:lineRule="auto"/>
                    <w:ind w:firstLine="0" w:firstLineChars="0"/>
                    <w:jc w:val="center"/>
                    <w:rPr>
                      <w:rStyle w:val="32"/>
                    </w:rPr>
                  </w:pPr>
                  <w:r>
                    <w:rPr>
                      <w:rStyle w:val="32"/>
                      <w:rFonts w:hint="eastAsia"/>
                    </w:rPr>
                    <w:t>电</w:t>
                  </w:r>
                </w:p>
              </w:tc>
              <w:tc>
                <w:tcPr>
                  <w:tcW w:w="992" w:type="dxa"/>
                  <w:vAlign w:val="center"/>
                </w:tcPr>
                <w:p>
                  <w:pPr>
                    <w:pStyle w:val="36"/>
                    <w:spacing w:line="240" w:lineRule="auto"/>
                    <w:ind w:firstLine="0" w:firstLineChars="0"/>
                    <w:jc w:val="center"/>
                    <w:rPr>
                      <w:rStyle w:val="32"/>
                    </w:rPr>
                  </w:pPr>
                  <w:r>
                    <w:rPr>
                      <w:rStyle w:val="32"/>
                      <w:rFonts w:hint="eastAsia"/>
                    </w:rPr>
                    <w:t>万</w:t>
                  </w:r>
                  <w:r>
                    <w:rPr>
                      <w:rStyle w:val="32"/>
                    </w:rPr>
                    <w:t>kwh/a</w:t>
                  </w:r>
                </w:p>
              </w:tc>
              <w:tc>
                <w:tcPr>
                  <w:tcW w:w="2977" w:type="dxa"/>
                  <w:vAlign w:val="center"/>
                </w:tcPr>
                <w:p>
                  <w:pPr>
                    <w:pStyle w:val="36"/>
                    <w:spacing w:line="240" w:lineRule="auto"/>
                    <w:ind w:firstLine="0" w:firstLineChars="0"/>
                    <w:jc w:val="center"/>
                    <w:rPr>
                      <w:rStyle w:val="32"/>
                    </w:rPr>
                  </w:pPr>
                  <w:r>
                    <w:rPr>
                      <w:rStyle w:val="32"/>
                      <w:rFonts w:hint="eastAsia"/>
                    </w:rPr>
                    <w:t>60</w:t>
                  </w:r>
                </w:p>
              </w:tc>
            </w:tr>
          </w:tbl>
          <w:p>
            <w:pPr>
              <w:pStyle w:val="36"/>
              <w:spacing w:line="360" w:lineRule="auto"/>
              <w:ind w:firstLine="482"/>
              <w:rPr>
                <w:rFonts w:ascii="宋体" w:hAnsi="宋体"/>
                <w:b/>
                <w:szCs w:val="24"/>
              </w:rPr>
            </w:pPr>
            <w:r>
              <w:rPr>
                <w:rFonts w:ascii="宋体" w:hAnsi="宋体"/>
                <w:b/>
                <w:szCs w:val="24"/>
              </w:rPr>
              <w:t>8.</w:t>
            </w:r>
            <w:r>
              <w:rPr>
                <w:rFonts w:hint="eastAsia" w:ascii="宋体" w:hAnsi="宋体"/>
                <w:b/>
                <w:szCs w:val="24"/>
              </w:rPr>
              <w:t>职工人数及工作制度</w:t>
            </w:r>
          </w:p>
          <w:p>
            <w:pPr>
              <w:pStyle w:val="36"/>
              <w:spacing w:line="360" w:lineRule="auto"/>
              <w:ind w:firstLine="480"/>
              <w:rPr>
                <w:bCs/>
                <w:szCs w:val="24"/>
              </w:rPr>
            </w:pPr>
            <w:r>
              <w:rPr>
                <w:rFonts w:hint="eastAsia"/>
                <w:bCs/>
                <w:szCs w:val="24"/>
              </w:rPr>
              <w:t>建设项目定员</w:t>
            </w:r>
            <w:r>
              <w:rPr>
                <w:bCs/>
                <w:szCs w:val="24"/>
              </w:rPr>
              <w:t>8</w:t>
            </w:r>
            <w:r>
              <w:rPr>
                <w:rFonts w:hint="eastAsia"/>
                <w:bCs/>
                <w:szCs w:val="24"/>
              </w:rPr>
              <w:t>人，每天工作8h，每年工作</w:t>
            </w:r>
            <w:r>
              <w:rPr>
                <w:bCs/>
                <w:szCs w:val="24"/>
              </w:rPr>
              <w:t>150</w:t>
            </w:r>
            <w:r>
              <w:rPr>
                <w:rFonts w:hint="eastAsia"/>
                <w:bCs/>
                <w:szCs w:val="24"/>
              </w:rPr>
              <w:t>天。</w:t>
            </w:r>
          </w:p>
          <w:p>
            <w:pPr>
              <w:pStyle w:val="36"/>
              <w:spacing w:line="360" w:lineRule="auto"/>
              <w:ind w:firstLine="482"/>
              <w:rPr>
                <w:rFonts w:ascii="宋体" w:hAnsi="宋体"/>
                <w:b/>
                <w:bCs/>
              </w:rPr>
            </w:pPr>
            <w:r>
              <w:rPr>
                <w:rFonts w:ascii="宋体" w:hAnsi="宋体"/>
                <w:b/>
                <w:bCs/>
              </w:rPr>
              <w:t>9</w:t>
            </w:r>
            <w:r>
              <w:rPr>
                <w:rFonts w:hint="eastAsia" w:ascii="宋体" w:hAnsi="宋体"/>
                <w:b/>
                <w:bCs/>
              </w:rPr>
              <w:t>.公用工程</w:t>
            </w:r>
          </w:p>
          <w:p>
            <w:pPr>
              <w:pStyle w:val="36"/>
              <w:spacing w:line="360" w:lineRule="auto"/>
              <w:ind w:firstLine="480"/>
              <w:rPr>
                <w:bCs/>
                <w:szCs w:val="24"/>
              </w:rPr>
            </w:pPr>
            <w:r>
              <w:rPr>
                <w:rFonts w:hint="eastAsia"/>
                <w:bCs/>
                <w:szCs w:val="24"/>
              </w:rPr>
              <w:t xml:space="preserve">⑴ </w:t>
            </w:r>
            <w:r>
              <w:rPr>
                <w:bCs/>
                <w:szCs w:val="24"/>
              </w:rPr>
              <w:t>供水</w:t>
            </w:r>
          </w:p>
          <w:p>
            <w:pPr>
              <w:pStyle w:val="36"/>
              <w:spacing w:line="360" w:lineRule="auto"/>
              <w:ind w:firstLine="480"/>
              <w:rPr>
                <w:bCs/>
                <w:szCs w:val="24"/>
              </w:rPr>
            </w:pPr>
            <w:r>
              <w:rPr>
                <w:rFonts w:hint="eastAsia"/>
                <w:bCs/>
                <w:szCs w:val="24"/>
              </w:rPr>
              <w:t>本</w:t>
            </w:r>
            <w:r>
              <w:rPr>
                <w:bCs/>
                <w:szCs w:val="24"/>
              </w:rPr>
              <w:t>项目</w:t>
            </w:r>
            <w:r>
              <w:rPr>
                <w:rFonts w:hint="eastAsia"/>
                <w:bCs/>
                <w:szCs w:val="24"/>
              </w:rPr>
              <w:t>无</w:t>
            </w:r>
            <w:r>
              <w:rPr>
                <w:bCs/>
                <w:szCs w:val="24"/>
              </w:rPr>
              <w:t>生</w:t>
            </w:r>
            <w:r>
              <w:rPr>
                <w:rFonts w:hint="eastAsia"/>
                <w:bCs/>
                <w:szCs w:val="24"/>
              </w:rPr>
              <w:t>产</w:t>
            </w:r>
            <w:r>
              <w:rPr>
                <w:bCs/>
                <w:szCs w:val="24"/>
              </w:rPr>
              <w:t>用水。</w:t>
            </w:r>
            <w:r>
              <w:rPr>
                <w:rFonts w:hint="eastAsia"/>
                <w:bCs/>
                <w:szCs w:val="24"/>
              </w:rPr>
              <w:t>生活水按</w:t>
            </w:r>
            <w:r>
              <w:rPr>
                <w:bCs/>
                <w:szCs w:val="24"/>
              </w:rPr>
              <w:t>每人每天</w:t>
            </w:r>
            <w:r>
              <w:rPr>
                <w:rFonts w:hint="eastAsia"/>
                <w:bCs/>
                <w:szCs w:val="24"/>
              </w:rPr>
              <w:t>40</w:t>
            </w:r>
            <w:r>
              <w:rPr>
                <w:bCs/>
                <w:szCs w:val="24"/>
              </w:rPr>
              <w:t>L</w:t>
            </w:r>
            <w:r>
              <w:rPr>
                <w:rFonts w:hint="eastAsia"/>
                <w:bCs/>
                <w:szCs w:val="24"/>
              </w:rPr>
              <w:t>计</w:t>
            </w:r>
            <w:r>
              <w:rPr>
                <w:bCs/>
                <w:szCs w:val="24"/>
              </w:rPr>
              <w:t>，</w:t>
            </w:r>
            <w:r>
              <w:rPr>
                <w:rFonts w:hint="eastAsia"/>
                <w:bCs/>
                <w:szCs w:val="24"/>
              </w:rPr>
              <w:t>年用水量4</w:t>
            </w:r>
            <w:r>
              <w:rPr>
                <w:bCs/>
                <w:szCs w:val="24"/>
              </w:rPr>
              <w:t>8t</w:t>
            </w:r>
            <w:r>
              <w:rPr>
                <w:rFonts w:hint="eastAsia"/>
                <w:bCs/>
                <w:szCs w:val="24"/>
              </w:rPr>
              <w:t>/</w:t>
            </w:r>
            <w:r>
              <w:rPr>
                <w:bCs/>
                <w:szCs w:val="24"/>
              </w:rPr>
              <w:t>a</w:t>
            </w:r>
            <w:r>
              <w:rPr>
                <w:rFonts w:hint="eastAsia"/>
                <w:bCs/>
                <w:szCs w:val="24"/>
              </w:rPr>
              <w:t>。员工饮用水外购</w:t>
            </w:r>
            <w:r>
              <w:rPr>
                <w:bCs/>
                <w:szCs w:val="24"/>
              </w:rPr>
              <w:t>。</w:t>
            </w:r>
          </w:p>
          <w:p>
            <w:pPr>
              <w:pStyle w:val="36"/>
              <w:spacing w:line="360" w:lineRule="auto"/>
              <w:ind w:firstLine="480"/>
              <w:rPr>
                <w:bCs/>
                <w:szCs w:val="24"/>
              </w:rPr>
            </w:pPr>
            <w:r>
              <w:rPr>
                <w:rFonts w:hint="eastAsia"/>
                <w:bCs/>
                <w:szCs w:val="24"/>
              </w:rPr>
              <w:t xml:space="preserve">⑵ </w:t>
            </w:r>
            <w:r>
              <w:rPr>
                <w:bCs/>
                <w:szCs w:val="24"/>
              </w:rPr>
              <w:t>排水</w:t>
            </w:r>
          </w:p>
          <w:p>
            <w:pPr>
              <w:pStyle w:val="36"/>
              <w:spacing w:line="360" w:lineRule="auto"/>
              <w:ind w:firstLine="480"/>
              <w:rPr>
                <w:rFonts w:ascii="宋体" w:hAnsi="宋体"/>
                <w:color w:val="FF0000"/>
              </w:rPr>
            </w:pPr>
            <w:r>
              <w:rPr>
                <w:rFonts w:hint="eastAsia"/>
                <w:bCs/>
                <w:szCs w:val="24"/>
              </w:rPr>
              <w:t>建设项目厂区内建有旱厕和化粪池，员工生活污水经化粪池处理后，委托环卫部门定</w:t>
            </w:r>
          </w:p>
          <w:p>
            <w:pPr>
              <w:pStyle w:val="36"/>
              <w:spacing w:line="360" w:lineRule="auto"/>
              <w:ind w:firstLine="480"/>
              <w:rPr>
                <w:bCs/>
                <w:szCs w:val="24"/>
              </w:rPr>
            </w:pPr>
            <w:r>
              <w:rPr>
                <w:rFonts w:hint="eastAsia"/>
                <w:bCs/>
                <w:szCs w:val="24"/>
              </w:rPr>
              <w:t>综上，本项目的废水产生量为</w:t>
            </w:r>
            <w:r>
              <w:rPr>
                <w:bCs/>
                <w:szCs w:val="24"/>
              </w:rPr>
              <w:t>43.5</w:t>
            </w:r>
            <w:r>
              <w:rPr>
                <w:rFonts w:hint="eastAsia"/>
                <w:bCs/>
                <w:szCs w:val="24"/>
              </w:rPr>
              <w:t>t/a。</w:t>
            </w:r>
          </w:p>
          <w:p>
            <w:pPr>
              <w:pStyle w:val="36"/>
              <w:spacing w:line="360" w:lineRule="auto"/>
              <w:ind w:firstLine="480"/>
              <w:rPr>
                <w:bCs/>
                <w:szCs w:val="24"/>
              </w:rPr>
            </w:pPr>
            <w:r>
              <w:rPr>
                <w:rFonts w:hint="eastAsia"/>
                <w:bCs/>
                <w:szCs w:val="24"/>
              </w:rPr>
              <w:t xml:space="preserve">⑶ </w:t>
            </w:r>
            <w:r>
              <w:rPr>
                <w:bCs/>
                <w:szCs w:val="24"/>
              </w:rPr>
              <w:t>供电工程</w:t>
            </w:r>
          </w:p>
          <w:p>
            <w:pPr>
              <w:pStyle w:val="36"/>
              <w:spacing w:line="360" w:lineRule="auto"/>
              <w:ind w:firstLine="480"/>
              <w:rPr>
                <w:bCs/>
                <w:szCs w:val="24"/>
              </w:rPr>
            </w:pPr>
            <w:r>
              <w:rPr>
                <w:bCs/>
                <w:szCs w:val="24"/>
              </w:rPr>
              <w:t>项目</w:t>
            </w:r>
            <w:r>
              <w:rPr>
                <w:rFonts w:hint="eastAsia"/>
                <w:bCs/>
                <w:szCs w:val="24"/>
              </w:rPr>
              <w:t>年</w:t>
            </w:r>
            <w:r>
              <w:rPr>
                <w:bCs/>
                <w:szCs w:val="24"/>
              </w:rPr>
              <w:t>用电量约为60</w:t>
            </w:r>
            <w:r>
              <w:rPr>
                <w:rFonts w:hint="eastAsia"/>
                <w:bCs/>
                <w:szCs w:val="24"/>
              </w:rPr>
              <w:t>万</w:t>
            </w:r>
            <w:r>
              <w:rPr>
                <w:bCs/>
                <w:szCs w:val="24"/>
              </w:rPr>
              <w:t>kwh，由</w:t>
            </w:r>
            <w:r>
              <w:rPr>
                <w:rFonts w:hint="eastAsia"/>
                <w:bCs/>
                <w:szCs w:val="24"/>
              </w:rPr>
              <w:t>当地</w:t>
            </w:r>
            <w:r>
              <w:rPr>
                <w:bCs/>
                <w:szCs w:val="24"/>
              </w:rPr>
              <w:t>市政供电网统一供给。</w:t>
            </w:r>
          </w:p>
          <w:p>
            <w:pPr>
              <w:pStyle w:val="36"/>
              <w:spacing w:line="360" w:lineRule="auto"/>
              <w:ind w:firstLine="482"/>
              <w:rPr>
                <w:rFonts w:ascii="宋体" w:hAnsi="宋体"/>
                <w:b/>
                <w:szCs w:val="24"/>
              </w:rPr>
            </w:pPr>
            <w:r>
              <w:rPr>
                <w:rFonts w:ascii="宋体" w:hAnsi="宋体"/>
                <w:b/>
                <w:szCs w:val="24"/>
              </w:rPr>
              <w:t>10</w:t>
            </w:r>
            <w:r>
              <w:rPr>
                <w:rFonts w:hint="eastAsia" w:ascii="宋体" w:hAnsi="宋体"/>
                <w:b/>
                <w:szCs w:val="24"/>
              </w:rPr>
              <w:t>.产业政策符合性分析</w:t>
            </w:r>
          </w:p>
          <w:p>
            <w:pPr>
              <w:pStyle w:val="36"/>
              <w:spacing w:line="360" w:lineRule="auto"/>
              <w:ind w:firstLine="480"/>
              <w:rPr>
                <w:bCs/>
                <w:szCs w:val="24"/>
              </w:rPr>
            </w:pPr>
            <w:r>
              <w:rPr>
                <w:rFonts w:hint="eastAsia"/>
                <w:bCs/>
                <w:szCs w:val="24"/>
              </w:rPr>
              <w:t>项目与国家和地方“水、气、土十条”相符性详见表1-</w:t>
            </w:r>
            <w:r>
              <w:rPr>
                <w:bCs/>
                <w:szCs w:val="24"/>
              </w:rPr>
              <w:t>5</w:t>
            </w:r>
            <w:r>
              <w:rPr>
                <w:rFonts w:hint="eastAsia"/>
                <w:bCs/>
                <w:szCs w:val="24"/>
              </w:rPr>
              <w:t>。</w:t>
            </w:r>
          </w:p>
          <w:p>
            <w:pPr>
              <w:pStyle w:val="36"/>
              <w:spacing w:line="360" w:lineRule="auto"/>
              <w:ind w:firstLine="480"/>
              <w:jc w:val="center"/>
              <w:rPr>
                <w:bCs/>
                <w:szCs w:val="24"/>
              </w:rPr>
            </w:pPr>
            <w:r>
              <w:rPr>
                <w:bCs/>
                <w:szCs w:val="24"/>
              </w:rPr>
              <w:t>表1-5项目与“水、气、土十条”相符性分析</w:t>
            </w:r>
          </w:p>
          <w:tbl>
            <w:tblPr>
              <w:tblStyle w:val="25"/>
              <w:tblW w:w="83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66"/>
              <w:gridCol w:w="1275"/>
              <w:gridCol w:w="3465"/>
              <w:gridCol w:w="1605"/>
              <w:gridCol w:w="15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 w:hRule="atLeast"/>
                <w:jc w:val="center"/>
              </w:trPr>
              <w:tc>
                <w:tcPr>
                  <w:tcW w:w="466" w:type="dxa"/>
                  <w:vAlign w:val="center"/>
                </w:tcPr>
                <w:p>
                  <w:pPr>
                    <w:pStyle w:val="103"/>
                    <w:adjustRightInd w:val="0"/>
                    <w:snapToGrid w:val="0"/>
                    <w:spacing w:line="240" w:lineRule="exact"/>
                    <w:rPr>
                      <w:rFonts w:asciiTheme="minorEastAsia" w:hAnsiTheme="minorEastAsia" w:eastAsiaTheme="minorEastAsia"/>
                      <w:b/>
                      <w:bCs/>
                      <w:szCs w:val="21"/>
                    </w:rPr>
                  </w:pPr>
                  <w:r>
                    <w:rPr>
                      <w:rFonts w:asciiTheme="minorEastAsia" w:hAnsiTheme="minorEastAsia" w:eastAsiaTheme="minorEastAsia"/>
                      <w:b/>
                      <w:bCs/>
                      <w:szCs w:val="21"/>
                    </w:rPr>
                    <w:t>序号</w:t>
                  </w:r>
                </w:p>
              </w:tc>
              <w:tc>
                <w:tcPr>
                  <w:tcW w:w="1275" w:type="dxa"/>
                  <w:vAlign w:val="center"/>
                </w:tcPr>
                <w:p>
                  <w:pPr>
                    <w:pStyle w:val="103"/>
                    <w:adjustRightInd w:val="0"/>
                    <w:snapToGrid w:val="0"/>
                    <w:spacing w:line="240" w:lineRule="exact"/>
                    <w:rPr>
                      <w:rFonts w:asciiTheme="minorEastAsia" w:hAnsiTheme="minorEastAsia" w:eastAsiaTheme="minorEastAsia"/>
                      <w:b/>
                      <w:bCs/>
                      <w:szCs w:val="21"/>
                    </w:rPr>
                  </w:pPr>
                  <w:r>
                    <w:rPr>
                      <w:rFonts w:asciiTheme="minorEastAsia" w:hAnsiTheme="minorEastAsia" w:eastAsiaTheme="minorEastAsia"/>
                      <w:b/>
                      <w:bCs/>
                      <w:szCs w:val="21"/>
                    </w:rPr>
                    <w:t>文件</w:t>
                  </w:r>
                </w:p>
              </w:tc>
              <w:tc>
                <w:tcPr>
                  <w:tcW w:w="3465" w:type="dxa"/>
                  <w:vAlign w:val="center"/>
                </w:tcPr>
                <w:p>
                  <w:pPr>
                    <w:pStyle w:val="103"/>
                    <w:adjustRightInd w:val="0"/>
                    <w:snapToGrid w:val="0"/>
                    <w:spacing w:line="240" w:lineRule="exact"/>
                    <w:rPr>
                      <w:rFonts w:asciiTheme="minorEastAsia" w:hAnsiTheme="minorEastAsia" w:eastAsiaTheme="minorEastAsia"/>
                      <w:b/>
                      <w:bCs/>
                      <w:szCs w:val="21"/>
                    </w:rPr>
                  </w:pPr>
                  <w:r>
                    <w:rPr>
                      <w:rFonts w:asciiTheme="minorEastAsia" w:hAnsiTheme="minorEastAsia" w:eastAsiaTheme="minorEastAsia"/>
                      <w:b/>
                      <w:bCs/>
                      <w:szCs w:val="21"/>
                    </w:rPr>
                    <w:t>要求</w:t>
                  </w:r>
                </w:p>
              </w:tc>
              <w:tc>
                <w:tcPr>
                  <w:tcW w:w="1605" w:type="dxa"/>
                  <w:vAlign w:val="center"/>
                </w:tcPr>
                <w:p>
                  <w:pPr>
                    <w:pStyle w:val="103"/>
                    <w:adjustRightInd w:val="0"/>
                    <w:snapToGrid w:val="0"/>
                    <w:spacing w:line="240" w:lineRule="exact"/>
                    <w:rPr>
                      <w:rFonts w:asciiTheme="minorEastAsia" w:hAnsiTheme="minorEastAsia" w:eastAsiaTheme="minorEastAsia"/>
                      <w:b/>
                      <w:bCs/>
                      <w:szCs w:val="21"/>
                    </w:rPr>
                  </w:pPr>
                  <w:r>
                    <w:rPr>
                      <w:rFonts w:asciiTheme="minorEastAsia" w:hAnsiTheme="minorEastAsia" w:eastAsiaTheme="minorEastAsia"/>
                      <w:b/>
                      <w:bCs/>
                      <w:szCs w:val="21"/>
                    </w:rPr>
                    <w:t>相关要求</w:t>
                  </w:r>
                </w:p>
              </w:tc>
              <w:tc>
                <w:tcPr>
                  <w:tcW w:w="1501" w:type="dxa"/>
                  <w:vAlign w:val="center"/>
                </w:tcPr>
                <w:p>
                  <w:pPr>
                    <w:pStyle w:val="103"/>
                    <w:adjustRightInd w:val="0"/>
                    <w:snapToGrid w:val="0"/>
                    <w:spacing w:line="240" w:lineRule="exact"/>
                    <w:rPr>
                      <w:rFonts w:asciiTheme="minorEastAsia" w:hAnsiTheme="minorEastAsia" w:eastAsiaTheme="minorEastAsia"/>
                      <w:b/>
                      <w:bCs/>
                      <w:szCs w:val="21"/>
                    </w:rPr>
                  </w:pPr>
                  <w:r>
                    <w:rPr>
                      <w:rFonts w:asciiTheme="minorEastAsia" w:hAnsiTheme="minorEastAsia" w:eastAsiaTheme="minorEastAsia"/>
                      <w:b/>
                      <w:bCs/>
                      <w:szCs w:val="21"/>
                    </w:rPr>
                    <w:t>相符性分析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66" w:type="dxa"/>
                  <w:vAlign w:val="center"/>
                </w:tcPr>
                <w:p>
                  <w:pPr>
                    <w:pStyle w:val="103"/>
                    <w:adjustRightInd w:val="0"/>
                    <w:snapToGrid w:val="0"/>
                    <w:spacing w:line="240" w:lineRule="exact"/>
                    <w:rPr>
                      <w:rFonts w:asciiTheme="minorEastAsia" w:hAnsiTheme="minorEastAsia" w:eastAsiaTheme="minorEastAsia"/>
                      <w:szCs w:val="21"/>
                    </w:rPr>
                  </w:pPr>
                  <w:r>
                    <w:rPr>
                      <w:rFonts w:asciiTheme="minorEastAsia" w:hAnsiTheme="minorEastAsia" w:eastAsiaTheme="minorEastAsia"/>
                      <w:szCs w:val="21"/>
                    </w:rPr>
                    <w:t>1</w:t>
                  </w:r>
                </w:p>
              </w:tc>
              <w:tc>
                <w:tcPr>
                  <w:tcW w:w="1275" w:type="dxa"/>
                  <w:vAlign w:val="center"/>
                </w:tcPr>
                <w:p>
                  <w:pPr>
                    <w:pStyle w:val="103"/>
                    <w:adjustRightInd w:val="0"/>
                    <w:snapToGrid w:val="0"/>
                    <w:spacing w:line="240" w:lineRule="exact"/>
                    <w:rPr>
                      <w:rFonts w:asciiTheme="minorEastAsia" w:hAnsiTheme="minorEastAsia" w:eastAsiaTheme="minorEastAsia"/>
                      <w:szCs w:val="21"/>
                    </w:rPr>
                  </w:pPr>
                  <w:r>
                    <w:rPr>
                      <w:rFonts w:asciiTheme="minorEastAsia" w:hAnsiTheme="minorEastAsia" w:eastAsiaTheme="minorEastAsia"/>
                      <w:szCs w:val="21"/>
                    </w:rPr>
                    <w:t>国务院关于印发水污染防治行动计划的通知</w:t>
                  </w:r>
                </w:p>
              </w:tc>
              <w:tc>
                <w:tcPr>
                  <w:tcW w:w="3465" w:type="dxa"/>
                  <w:vAlign w:val="center"/>
                </w:tcPr>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1、全面控制污染物排放</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2、推动经济结构转型升级</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3、着力节约保护水资源</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4、强化科技支撑</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5、充分发挥市场机制作用</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6、严格环境执法监管</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7、切实加强水环境管理</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8、全力保障水生态环境安全</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9、明确和落实各方责任</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10、强化公众参与和社会监督</w:t>
                  </w:r>
                </w:p>
              </w:tc>
              <w:tc>
                <w:tcPr>
                  <w:tcW w:w="1605" w:type="dxa"/>
                  <w:vAlign w:val="center"/>
                </w:tcPr>
                <w:p>
                  <w:pPr>
                    <w:pStyle w:val="103"/>
                    <w:adjustRightInd w:val="0"/>
                    <w:snapToGrid w:val="0"/>
                    <w:spacing w:line="240" w:lineRule="exact"/>
                    <w:jc w:val="left"/>
                    <w:rPr>
                      <w:rFonts w:asciiTheme="minorEastAsia" w:hAnsiTheme="minorEastAsia" w:eastAsiaTheme="minorEastAsia"/>
                      <w:bCs/>
                      <w:szCs w:val="21"/>
                    </w:rPr>
                  </w:pPr>
                  <w:r>
                    <w:rPr>
                      <w:rFonts w:asciiTheme="minorEastAsia" w:hAnsiTheme="minorEastAsia" w:eastAsiaTheme="minorEastAsia"/>
                      <w:szCs w:val="21"/>
                    </w:rPr>
                    <w:t>1、全面控制污染物排放：</w:t>
                  </w:r>
                  <w:r>
                    <w:rPr>
                      <w:rFonts w:hint="eastAsia" w:cs="宋体" w:asciiTheme="minorEastAsia" w:hAnsiTheme="minorEastAsia" w:eastAsiaTheme="minorEastAsia"/>
                      <w:szCs w:val="21"/>
                    </w:rPr>
                    <w:t>①</w:t>
                  </w:r>
                  <w:r>
                    <w:rPr>
                      <w:rFonts w:asciiTheme="minorEastAsia" w:hAnsiTheme="minorEastAsia" w:eastAsiaTheme="minorEastAsia"/>
                      <w:szCs w:val="21"/>
                    </w:rPr>
                    <w:t>狠抓工业污染防治。取缔“十小”企业</w:t>
                  </w:r>
                  <w:r>
                    <w:rPr>
                      <w:rFonts w:hint="eastAsia" w:cs="宋体" w:asciiTheme="minorEastAsia" w:hAnsiTheme="minorEastAsia" w:eastAsiaTheme="minorEastAsia"/>
                      <w:szCs w:val="21"/>
                    </w:rPr>
                    <w:t>②</w:t>
                  </w:r>
                  <w:r>
                    <w:rPr>
                      <w:rFonts w:asciiTheme="minorEastAsia" w:hAnsiTheme="minorEastAsia" w:eastAsiaTheme="minorEastAsia"/>
                      <w:szCs w:val="21"/>
                    </w:rPr>
                    <w:t>专项整治十大重点行业</w:t>
                  </w:r>
                  <w:r>
                    <w:rPr>
                      <w:rFonts w:hint="eastAsia" w:cs="宋体" w:asciiTheme="minorEastAsia" w:hAnsiTheme="minorEastAsia" w:eastAsiaTheme="minorEastAsia"/>
                      <w:szCs w:val="21"/>
                    </w:rPr>
                    <w:t>③</w:t>
                  </w:r>
                  <w:r>
                    <w:rPr>
                      <w:rFonts w:asciiTheme="minorEastAsia" w:hAnsiTheme="minorEastAsia" w:eastAsiaTheme="minorEastAsia"/>
                      <w:szCs w:val="21"/>
                    </w:rPr>
                    <w:t>集中治理工业集聚区水污染</w:t>
                  </w:r>
                </w:p>
              </w:tc>
              <w:tc>
                <w:tcPr>
                  <w:tcW w:w="1501" w:type="dxa"/>
                  <w:vAlign w:val="center"/>
                </w:tcPr>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本项目为</w:t>
                  </w:r>
                  <w:r>
                    <w:rPr>
                      <w:rFonts w:hint="eastAsia" w:asciiTheme="minorEastAsia" w:hAnsiTheme="minorEastAsia" w:eastAsiaTheme="minorEastAsia"/>
                      <w:szCs w:val="21"/>
                    </w:rPr>
                    <w:t>防火模块</w:t>
                  </w:r>
                  <w:r>
                    <w:rPr>
                      <w:rFonts w:asciiTheme="minorEastAsia" w:hAnsiTheme="minorEastAsia" w:eastAsiaTheme="minorEastAsia"/>
                      <w:szCs w:val="21"/>
                    </w:rPr>
                    <w:t>生产项目，</w:t>
                  </w:r>
                  <w:r>
                    <w:rPr>
                      <w:rFonts w:hint="eastAsia" w:cs="宋体" w:asciiTheme="minorEastAsia" w:hAnsiTheme="minorEastAsia" w:eastAsiaTheme="minorEastAsia"/>
                      <w:szCs w:val="21"/>
                    </w:rPr>
                    <w:t>①</w:t>
                  </w:r>
                  <w:r>
                    <w:rPr>
                      <w:rFonts w:asciiTheme="minorEastAsia" w:hAnsiTheme="minorEastAsia" w:eastAsiaTheme="minorEastAsia"/>
                      <w:szCs w:val="21"/>
                    </w:rPr>
                    <w:t>不属于“十小”企业</w:t>
                  </w:r>
                  <w:r>
                    <w:rPr>
                      <w:rFonts w:hint="eastAsia" w:cs="宋体" w:asciiTheme="minorEastAsia" w:hAnsiTheme="minorEastAsia" w:eastAsiaTheme="minorEastAsia"/>
                      <w:szCs w:val="21"/>
                    </w:rPr>
                    <w:t>②</w:t>
                  </w:r>
                  <w:r>
                    <w:rPr>
                      <w:rFonts w:asciiTheme="minorEastAsia" w:hAnsiTheme="minorEastAsia" w:eastAsiaTheme="minorEastAsia"/>
                      <w:szCs w:val="21"/>
                    </w:rPr>
                    <w:t>不属于十大重点行业</w:t>
                  </w:r>
                  <w:r>
                    <w:rPr>
                      <w:rFonts w:hint="eastAsia" w:cs="宋体" w:asciiTheme="minorEastAsia" w:hAnsiTheme="minorEastAsia" w:eastAsiaTheme="minorEastAsia"/>
                      <w:szCs w:val="21"/>
                    </w:rPr>
                    <w:t>③</w:t>
                  </w:r>
                  <w:r>
                    <w:rPr>
                      <w:rFonts w:asciiTheme="minorEastAsia" w:hAnsiTheme="minorEastAsia" w:eastAsiaTheme="minorEastAsia"/>
                      <w:szCs w:val="21"/>
                    </w:rPr>
                    <w:t>本项目污水主要为生活污水，</w:t>
                  </w:r>
                  <w:r>
                    <w:rPr>
                      <w:rFonts w:hint="eastAsia" w:asciiTheme="minorEastAsia" w:hAnsiTheme="minorEastAsia" w:eastAsiaTheme="minorEastAsia"/>
                      <w:szCs w:val="21"/>
                    </w:rPr>
                    <w:t>经化粪池预处理后外运至污水处理厂集中处理后达标排放</w:t>
                  </w:r>
                  <w:r>
                    <w:rPr>
                      <w:rFonts w:asciiTheme="minorEastAsia" w:hAnsiTheme="minorEastAsia" w:eastAsiaTheme="minorEastAsia"/>
                      <w:szCs w:val="21"/>
                    </w:rPr>
                    <w:t>。符合相关要求</w:t>
                  </w:r>
                  <w:r>
                    <w:rPr>
                      <w:rFonts w:hint="eastAsia" w:asciiTheme="minorEastAsia" w:hAnsiTheme="minorEastAsia" w:eastAsiaTheme="minor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 w:hRule="atLeast"/>
                <w:jc w:val="center"/>
              </w:trPr>
              <w:tc>
                <w:tcPr>
                  <w:tcW w:w="466" w:type="dxa"/>
                  <w:vAlign w:val="center"/>
                </w:tcPr>
                <w:p>
                  <w:pPr>
                    <w:pStyle w:val="103"/>
                    <w:adjustRightInd w:val="0"/>
                    <w:snapToGrid w:val="0"/>
                    <w:spacing w:line="240" w:lineRule="exact"/>
                    <w:rPr>
                      <w:rFonts w:asciiTheme="minorEastAsia" w:hAnsiTheme="minorEastAsia" w:eastAsiaTheme="minorEastAsia"/>
                      <w:szCs w:val="21"/>
                    </w:rPr>
                  </w:pPr>
                  <w:r>
                    <w:rPr>
                      <w:rFonts w:asciiTheme="minorEastAsia" w:hAnsiTheme="minorEastAsia" w:eastAsiaTheme="minorEastAsia"/>
                      <w:szCs w:val="21"/>
                    </w:rPr>
                    <w:t>2</w:t>
                  </w:r>
                </w:p>
              </w:tc>
              <w:tc>
                <w:tcPr>
                  <w:tcW w:w="1275" w:type="dxa"/>
                  <w:vAlign w:val="center"/>
                </w:tcPr>
                <w:p>
                  <w:pPr>
                    <w:pStyle w:val="103"/>
                    <w:adjustRightInd w:val="0"/>
                    <w:snapToGrid w:val="0"/>
                    <w:spacing w:line="240" w:lineRule="exact"/>
                    <w:rPr>
                      <w:rFonts w:asciiTheme="minorEastAsia" w:hAnsiTheme="minorEastAsia" w:eastAsiaTheme="minorEastAsia"/>
                      <w:szCs w:val="21"/>
                    </w:rPr>
                  </w:pPr>
                  <w:r>
                    <w:rPr>
                      <w:rFonts w:asciiTheme="minorEastAsia" w:hAnsiTheme="minorEastAsia" w:eastAsiaTheme="minorEastAsia"/>
                      <w:szCs w:val="21"/>
                    </w:rPr>
                    <w:t>国务院关于印发大气污染防治行动计划的通知</w:t>
                  </w:r>
                </w:p>
              </w:tc>
              <w:tc>
                <w:tcPr>
                  <w:tcW w:w="3465" w:type="dxa"/>
                  <w:vAlign w:val="center"/>
                </w:tcPr>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1、加大综合治理力度，减少多污染物排放</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2、调整优化产业结构，推动产业转型升级</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3、加快企业技术改造，提高科技创新能力</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4、加快调整能源结构，增加清洁能源供应</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5、严格节能环保准入，优化产业空间布局</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6、发挥市场机制作用，完善环境经济政策</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7、健全法律法规体系，严格依法监督管理</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8、建立区域协作机制，统筹区域环境治理</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9、建立监测预警应急体系，妥善应对重污染天气</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10、明确政府企业和社会的责任，动员全民参与环境保护</w:t>
                  </w:r>
                </w:p>
              </w:tc>
              <w:tc>
                <w:tcPr>
                  <w:tcW w:w="1605" w:type="dxa"/>
                  <w:vAlign w:val="center"/>
                </w:tcPr>
                <w:p>
                  <w:pPr>
                    <w:pStyle w:val="103"/>
                    <w:adjustRightInd w:val="0"/>
                    <w:snapToGrid w:val="0"/>
                    <w:spacing w:line="240" w:lineRule="exact"/>
                    <w:jc w:val="both"/>
                    <w:rPr>
                      <w:rFonts w:asciiTheme="minorEastAsia" w:hAnsiTheme="minorEastAsia" w:eastAsiaTheme="minorEastAsia"/>
                      <w:bCs/>
                      <w:szCs w:val="21"/>
                    </w:rPr>
                  </w:pPr>
                  <w:r>
                    <w:rPr>
                      <w:rFonts w:asciiTheme="minorEastAsia" w:hAnsiTheme="minorEastAsia" w:eastAsiaTheme="minorEastAsia"/>
                      <w:bCs/>
                      <w:szCs w:val="21"/>
                    </w:rPr>
                    <w:t>1、</w:t>
                  </w:r>
                  <w:r>
                    <w:rPr>
                      <w:rFonts w:asciiTheme="minorEastAsia" w:hAnsiTheme="minorEastAsia" w:eastAsiaTheme="minorEastAsia"/>
                      <w:szCs w:val="21"/>
                    </w:rPr>
                    <w:t>加大综合治理力度，减少多污染物排放</w:t>
                  </w:r>
                </w:p>
              </w:tc>
              <w:tc>
                <w:tcPr>
                  <w:tcW w:w="1501" w:type="dxa"/>
                  <w:vAlign w:val="center"/>
                </w:tcPr>
                <w:p>
                  <w:pPr>
                    <w:adjustRightInd w:val="0"/>
                    <w:snapToGrid w:val="0"/>
                    <w:spacing w:line="240" w:lineRule="exact"/>
                    <w:rPr>
                      <w:rFonts w:asciiTheme="minorEastAsia" w:hAnsiTheme="minorEastAsia" w:eastAsiaTheme="minorEastAsia"/>
                      <w:bCs/>
                      <w:sz w:val="21"/>
                      <w:szCs w:val="21"/>
                    </w:rPr>
                  </w:pPr>
                  <w:r>
                    <w:rPr>
                      <w:rFonts w:asciiTheme="minorEastAsia" w:hAnsiTheme="minorEastAsia" w:eastAsiaTheme="minorEastAsia"/>
                      <w:spacing w:val="8"/>
                      <w:kern w:val="0"/>
                      <w:sz w:val="21"/>
                      <w:szCs w:val="21"/>
                    </w:rPr>
                    <w:t>本项目为</w:t>
                  </w:r>
                  <w:r>
                    <w:rPr>
                      <w:rFonts w:hint="eastAsia" w:asciiTheme="minorEastAsia" w:hAnsiTheme="minorEastAsia" w:eastAsiaTheme="minorEastAsia"/>
                      <w:spacing w:val="8"/>
                      <w:kern w:val="0"/>
                      <w:sz w:val="21"/>
                      <w:szCs w:val="21"/>
                    </w:rPr>
                    <w:t>防火模块</w:t>
                  </w:r>
                  <w:r>
                    <w:rPr>
                      <w:rFonts w:asciiTheme="minorEastAsia" w:hAnsiTheme="minorEastAsia" w:eastAsiaTheme="minorEastAsia"/>
                      <w:spacing w:val="8"/>
                      <w:kern w:val="0"/>
                      <w:sz w:val="21"/>
                      <w:szCs w:val="21"/>
                    </w:rPr>
                    <w:t>生产项目，</w:t>
                  </w:r>
                  <w:r>
                    <w:rPr>
                      <w:rFonts w:asciiTheme="minorEastAsia" w:hAnsiTheme="minorEastAsia" w:eastAsiaTheme="minorEastAsia"/>
                      <w:sz w:val="21"/>
                      <w:szCs w:val="21"/>
                    </w:rPr>
                    <w:t>本项目产生</w:t>
                  </w:r>
                  <w:r>
                    <w:rPr>
                      <w:rFonts w:hint="eastAsia" w:asciiTheme="minorEastAsia" w:hAnsiTheme="minorEastAsia" w:eastAsiaTheme="minorEastAsia"/>
                      <w:sz w:val="21"/>
                      <w:szCs w:val="21"/>
                    </w:rPr>
                    <w:t>的配料、搅拌粉尘经集气罩收集后再通过布袋除尘器处理后于1根15米</w:t>
                  </w:r>
                  <w:r>
                    <w:rPr>
                      <w:rFonts w:asciiTheme="minorEastAsia" w:hAnsiTheme="minorEastAsia" w:eastAsiaTheme="minorEastAsia"/>
                      <w:sz w:val="21"/>
                      <w:szCs w:val="21"/>
                    </w:rPr>
                    <w:t>高</w:t>
                  </w:r>
                  <w:r>
                    <w:rPr>
                      <w:rFonts w:hint="eastAsia" w:asciiTheme="minorEastAsia" w:hAnsiTheme="minorEastAsia" w:eastAsiaTheme="minorEastAsia"/>
                      <w:sz w:val="21"/>
                      <w:szCs w:val="21"/>
                    </w:rPr>
                    <w:t>排气筒排放；</w:t>
                  </w:r>
                  <w:r>
                    <w:rPr>
                      <w:rFonts w:asciiTheme="minorEastAsia" w:hAnsiTheme="minorEastAsia" w:eastAsiaTheme="minorEastAsia"/>
                      <w:sz w:val="21"/>
                      <w:szCs w:val="21"/>
                    </w:rPr>
                    <w:t>未收集的</w:t>
                  </w:r>
                  <w:r>
                    <w:rPr>
                      <w:rFonts w:hint="eastAsia" w:asciiTheme="minorEastAsia" w:hAnsiTheme="minorEastAsia" w:eastAsiaTheme="minorEastAsia"/>
                      <w:sz w:val="21"/>
                      <w:szCs w:val="21"/>
                    </w:rPr>
                    <w:t>粉尘</w:t>
                  </w:r>
                  <w:r>
                    <w:rPr>
                      <w:rFonts w:asciiTheme="minorEastAsia" w:hAnsiTheme="minorEastAsia" w:eastAsiaTheme="minorEastAsia"/>
                      <w:sz w:val="21"/>
                      <w:szCs w:val="21"/>
                    </w:rPr>
                    <w:t>在厂界范围内无组织达标排放，符合相关要求。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 w:hRule="atLeast"/>
                <w:jc w:val="center"/>
              </w:trPr>
              <w:tc>
                <w:tcPr>
                  <w:tcW w:w="466" w:type="dxa"/>
                  <w:vAlign w:val="center"/>
                </w:tcPr>
                <w:p>
                  <w:pPr>
                    <w:pStyle w:val="103"/>
                    <w:adjustRightInd w:val="0"/>
                    <w:snapToGrid w:val="0"/>
                    <w:spacing w:line="240" w:lineRule="exact"/>
                    <w:rPr>
                      <w:rFonts w:asciiTheme="minorEastAsia" w:hAnsiTheme="minorEastAsia" w:eastAsiaTheme="minorEastAsia"/>
                      <w:szCs w:val="21"/>
                    </w:rPr>
                  </w:pPr>
                  <w:r>
                    <w:rPr>
                      <w:rFonts w:asciiTheme="minorEastAsia" w:hAnsiTheme="minorEastAsia" w:eastAsiaTheme="minorEastAsia"/>
                      <w:szCs w:val="21"/>
                    </w:rPr>
                    <w:t>3</w:t>
                  </w:r>
                </w:p>
              </w:tc>
              <w:tc>
                <w:tcPr>
                  <w:tcW w:w="1275" w:type="dxa"/>
                  <w:vAlign w:val="center"/>
                </w:tcPr>
                <w:p>
                  <w:pPr>
                    <w:pStyle w:val="103"/>
                    <w:adjustRightInd w:val="0"/>
                    <w:snapToGrid w:val="0"/>
                    <w:spacing w:line="240" w:lineRule="exact"/>
                    <w:rPr>
                      <w:rFonts w:asciiTheme="minorEastAsia" w:hAnsiTheme="minorEastAsia" w:eastAsiaTheme="minorEastAsia"/>
                      <w:szCs w:val="21"/>
                    </w:rPr>
                  </w:pPr>
                  <w:r>
                    <w:rPr>
                      <w:rFonts w:asciiTheme="minorEastAsia" w:hAnsiTheme="minorEastAsia" w:eastAsiaTheme="minorEastAsia"/>
                      <w:szCs w:val="21"/>
                    </w:rPr>
                    <w:t>国务院关于印发土壤污染防治行动计划的通知</w:t>
                  </w:r>
                </w:p>
              </w:tc>
              <w:tc>
                <w:tcPr>
                  <w:tcW w:w="3465" w:type="dxa"/>
                  <w:vAlign w:val="center"/>
                </w:tcPr>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1、开展土壤污染调查，掌握土壤环境质量状况</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2、推进土壤污染防治立法，建立健全法规标准体系</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3、实施农用地分类管理，保障农业生产环境安全</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4、实施建设用地准入管理，防范人居环境风险</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5、强化未污染土壤保护，严控新增土壤污染</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6、加强污染源监管，做好土壤污染预防工作</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7、开展污染治理与修复，改善区域土壤环境质量</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8、加大科技研发力度，推动环境保护产业发展</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9、发挥政府主导作用，构建土壤环境治理体系</w:t>
                  </w:r>
                </w:p>
                <w:p>
                  <w:pPr>
                    <w:pStyle w:val="103"/>
                    <w:adjustRightInd w:val="0"/>
                    <w:snapToGrid w:val="0"/>
                    <w:spacing w:line="240" w:lineRule="exact"/>
                    <w:jc w:val="left"/>
                    <w:rPr>
                      <w:rFonts w:asciiTheme="minorEastAsia" w:hAnsiTheme="minorEastAsia" w:eastAsiaTheme="minorEastAsia"/>
                      <w:szCs w:val="21"/>
                    </w:rPr>
                  </w:pPr>
                  <w:r>
                    <w:rPr>
                      <w:rFonts w:asciiTheme="minorEastAsia" w:hAnsiTheme="minorEastAsia" w:eastAsiaTheme="minorEastAsia"/>
                      <w:szCs w:val="21"/>
                    </w:rPr>
                    <w:t>10、加强目标考核，严格责任追究</w:t>
                  </w:r>
                </w:p>
              </w:tc>
              <w:tc>
                <w:tcPr>
                  <w:tcW w:w="1605" w:type="dxa"/>
                  <w:vAlign w:val="center"/>
                </w:tcPr>
                <w:p>
                  <w:pPr>
                    <w:pStyle w:val="103"/>
                    <w:adjustRightInd w:val="0"/>
                    <w:snapToGrid w:val="0"/>
                    <w:spacing w:line="240" w:lineRule="exact"/>
                    <w:jc w:val="both"/>
                    <w:rPr>
                      <w:rFonts w:asciiTheme="minorEastAsia" w:hAnsiTheme="minorEastAsia" w:eastAsiaTheme="minorEastAsia"/>
                      <w:bCs/>
                      <w:szCs w:val="21"/>
                    </w:rPr>
                  </w:pPr>
                  <w:r>
                    <w:rPr>
                      <w:rFonts w:asciiTheme="minorEastAsia" w:hAnsiTheme="minorEastAsia" w:eastAsiaTheme="minorEastAsia"/>
                      <w:bCs/>
                      <w:szCs w:val="21"/>
                    </w:rPr>
                    <w:t>1、</w:t>
                  </w:r>
                  <w:r>
                    <w:rPr>
                      <w:rFonts w:asciiTheme="minorEastAsia" w:hAnsiTheme="minorEastAsia" w:eastAsiaTheme="minorEastAsia"/>
                      <w:szCs w:val="21"/>
                    </w:rPr>
                    <w:t>实施建设用地准入管理，防范人居环境风险</w:t>
                  </w:r>
                </w:p>
              </w:tc>
              <w:tc>
                <w:tcPr>
                  <w:tcW w:w="1501" w:type="dxa"/>
                  <w:vAlign w:val="center"/>
                </w:tcPr>
                <w:p>
                  <w:pPr>
                    <w:adjustRightInd w:val="0"/>
                    <w:snapToGrid w:val="0"/>
                    <w:spacing w:line="240" w:lineRule="exact"/>
                    <w:rPr>
                      <w:rFonts w:asciiTheme="minorEastAsia" w:hAnsiTheme="minorEastAsia" w:eastAsiaTheme="minorEastAsia"/>
                      <w:bCs/>
                      <w:sz w:val="21"/>
                      <w:szCs w:val="21"/>
                    </w:rPr>
                  </w:pPr>
                  <w:r>
                    <w:rPr>
                      <w:rFonts w:asciiTheme="minorEastAsia" w:hAnsiTheme="minorEastAsia" w:eastAsiaTheme="minorEastAsia"/>
                      <w:spacing w:val="8"/>
                      <w:kern w:val="0"/>
                      <w:sz w:val="21"/>
                      <w:szCs w:val="21"/>
                    </w:rPr>
                    <w:t>本项目位于</w:t>
                  </w:r>
                  <w:r>
                    <w:rPr>
                      <w:rFonts w:hint="eastAsia" w:cs="仿宋_GB2312" w:asciiTheme="minorEastAsia" w:hAnsiTheme="minorEastAsia" w:eastAsiaTheme="minorEastAsia"/>
                      <w:sz w:val="21"/>
                      <w:szCs w:val="21"/>
                    </w:rPr>
                    <w:t>锦州松山新区松山街道北三道壕子村</w:t>
                  </w:r>
                  <w:r>
                    <w:rPr>
                      <w:rFonts w:asciiTheme="minorEastAsia" w:hAnsiTheme="minorEastAsia" w:eastAsiaTheme="minorEastAsia"/>
                      <w:spacing w:val="8"/>
                      <w:kern w:val="0"/>
                      <w:sz w:val="21"/>
                      <w:szCs w:val="21"/>
                    </w:rPr>
                    <w:t>，用地性质为工业用地，符合相关要求</w:t>
                  </w:r>
                  <w:r>
                    <w:rPr>
                      <w:rFonts w:hint="eastAsia" w:asciiTheme="minorEastAsia" w:hAnsiTheme="minorEastAsia" w:eastAsiaTheme="minorEastAsia"/>
                      <w:spacing w:val="8"/>
                      <w:kern w:val="0"/>
                      <w:sz w:val="21"/>
                      <w:szCs w:val="21"/>
                    </w:rPr>
                    <w:t>。</w:t>
                  </w:r>
                </w:p>
              </w:tc>
            </w:tr>
          </w:tbl>
          <w:p>
            <w:pPr>
              <w:snapToGrid w:val="0"/>
              <w:spacing w:line="360" w:lineRule="auto"/>
              <w:ind w:firstLine="480" w:firstLineChars="200"/>
              <w:rPr>
                <w:sz w:val="24"/>
              </w:rPr>
            </w:pPr>
          </w:p>
          <w:p>
            <w:pPr>
              <w:pStyle w:val="36"/>
              <w:spacing w:line="360" w:lineRule="auto"/>
              <w:ind w:firstLine="482"/>
              <w:rPr>
                <w:rFonts w:ascii="宋体" w:hAnsi="宋体"/>
                <w:b/>
                <w:szCs w:val="24"/>
              </w:rPr>
            </w:pPr>
            <w:r>
              <w:rPr>
                <w:rFonts w:ascii="宋体" w:hAnsi="宋体"/>
                <w:b/>
                <w:szCs w:val="24"/>
              </w:rPr>
              <w:t>11</w:t>
            </w:r>
            <w:r>
              <w:rPr>
                <w:rFonts w:hint="eastAsia" w:ascii="宋体" w:hAnsi="宋体"/>
                <w:b/>
                <w:szCs w:val="24"/>
              </w:rPr>
              <w:t>.项目选址合理性及规划相符性分析</w:t>
            </w:r>
          </w:p>
          <w:p>
            <w:pPr>
              <w:pStyle w:val="36"/>
              <w:spacing w:line="360" w:lineRule="auto"/>
              <w:ind w:firstLine="480"/>
              <w:rPr>
                <w:bCs/>
                <w:szCs w:val="24"/>
              </w:rPr>
            </w:pPr>
            <w:r>
              <w:rPr>
                <w:rFonts w:hint="eastAsia"/>
                <w:bCs/>
                <w:szCs w:val="24"/>
              </w:rPr>
              <w:t>该</w:t>
            </w:r>
            <w:r>
              <w:rPr>
                <w:bCs/>
                <w:szCs w:val="24"/>
              </w:rPr>
              <w:t>项目选址</w:t>
            </w:r>
            <w:r>
              <w:rPr>
                <w:rFonts w:hint="eastAsia"/>
                <w:bCs/>
                <w:szCs w:val="24"/>
              </w:rPr>
              <w:t>位于锦州松山新区松山街道北三道壕子村原</w:t>
            </w:r>
            <w:r>
              <w:rPr>
                <w:bCs/>
                <w:szCs w:val="24"/>
              </w:rPr>
              <w:t>有锦州低压</w:t>
            </w:r>
            <w:r>
              <w:rPr>
                <w:rFonts w:hint="eastAsia"/>
                <w:bCs/>
                <w:szCs w:val="24"/>
              </w:rPr>
              <w:t>电</w:t>
            </w:r>
            <w:r>
              <w:rPr>
                <w:bCs/>
                <w:szCs w:val="24"/>
              </w:rPr>
              <w:t>器厂场址内</w:t>
            </w:r>
            <w:r>
              <w:rPr>
                <w:rFonts w:hint="eastAsia"/>
                <w:bCs/>
                <w:szCs w:val="24"/>
              </w:rPr>
              <w:t>，符合</w:t>
            </w:r>
            <w:r>
              <w:rPr>
                <w:bCs/>
                <w:szCs w:val="24"/>
              </w:rPr>
              <w:t>松山新区发展规划</w:t>
            </w:r>
            <w:r>
              <w:rPr>
                <w:rFonts w:hint="eastAsia"/>
                <w:bCs/>
                <w:szCs w:val="24"/>
              </w:rPr>
              <w:t>。项目所在地北侧为林地及空地、东侧为村民民房、南侧为道路，道路的对面为村民民房、西侧为村民民房。项目位置图见附图一，周边环境现状见附图</w:t>
            </w:r>
            <w:r>
              <w:rPr>
                <w:bCs/>
                <w:szCs w:val="24"/>
              </w:rPr>
              <w:t>2</w:t>
            </w:r>
            <w:r>
              <w:rPr>
                <w:rFonts w:hint="eastAsia"/>
                <w:bCs/>
                <w:szCs w:val="24"/>
              </w:rPr>
              <w:t>。</w:t>
            </w:r>
          </w:p>
          <w:p>
            <w:pPr>
              <w:pStyle w:val="36"/>
              <w:spacing w:line="360" w:lineRule="auto"/>
              <w:ind w:firstLine="480"/>
              <w:rPr>
                <w:bCs/>
                <w:szCs w:val="24"/>
              </w:rPr>
            </w:pPr>
            <w:r>
              <w:rPr>
                <w:rFonts w:hint="eastAsia"/>
                <w:bCs/>
                <w:szCs w:val="24"/>
              </w:rPr>
              <w:t>该</w:t>
            </w:r>
            <w:r>
              <w:rPr>
                <w:bCs/>
                <w:szCs w:val="24"/>
              </w:rPr>
              <w:t>项目</w:t>
            </w:r>
            <w:r>
              <w:rPr>
                <w:rFonts w:hint="eastAsia"/>
                <w:bCs/>
                <w:szCs w:val="24"/>
              </w:rPr>
              <w:t>废气、</w:t>
            </w:r>
            <w:r>
              <w:rPr>
                <w:bCs/>
                <w:szCs w:val="24"/>
              </w:rPr>
              <w:t>噪声经治理后可做到达标排放，固体废物</w:t>
            </w:r>
            <w:r>
              <w:rPr>
                <w:rFonts w:hint="eastAsia"/>
                <w:bCs/>
                <w:szCs w:val="24"/>
              </w:rPr>
              <w:t>做到合理处置，</w:t>
            </w:r>
            <w:r>
              <w:rPr>
                <w:bCs/>
                <w:szCs w:val="24"/>
              </w:rPr>
              <w:t>根据环境影响分析，</w:t>
            </w:r>
            <w:r>
              <w:rPr>
                <w:rFonts w:hint="eastAsia"/>
                <w:bCs/>
                <w:szCs w:val="24"/>
              </w:rPr>
              <w:t>该</w:t>
            </w:r>
            <w:r>
              <w:rPr>
                <w:bCs/>
                <w:szCs w:val="24"/>
              </w:rPr>
              <w:t>项目对周围环境影响较小</w:t>
            </w:r>
            <w:r>
              <w:rPr>
                <w:rFonts w:hint="eastAsia"/>
                <w:bCs/>
                <w:szCs w:val="24"/>
              </w:rPr>
              <w:t>。</w:t>
            </w:r>
          </w:p>
          <w:p>
            <w:pPr>
              <w:pStyle w:val="36"/>
              <w:spacing w:line="360" w:lineRule="auto"/>
              <w:ind w:firstLine="482"/>
              <w:rPr>
                <w:b/>
                <w:bCs/>
                <w:szCs w:val="24"/>
              </w:rPr>
            </w:pPr>
            <w:r>
              <w:rPr>
                <w:rFonts w:hint="eastAsia"/>
                <w:b/>
                <w:bCs/>
                <w:szCs w:val="24"/>
              </w:rPr>
              <w:t>1</w:t>
            </w:r>
            <w:r>
              <w:rPr>
                <w:b/>
                <w:bCs/>
                <w:szCs w:val="24"/>
              </w:rPr>
              <w:t>2</w:t>
            </w:r>
            <w:r>
              <w:rPr>
                <w:rFonts w:hint="eastAsia"/>
                <w:b/>
                <w:bCs/>
                <w:szCs w:val="24"/>
              </w:rPr>
              <w:t>.“三线一单”符合性分析</w:t>
            </w:r>
          </w:p>
          <w:p>
            <w:pPr>
              <w:pStyle w:val="36"/>
              <w:spacing w:line="360" w:lineRule="auto"/>
              <w:ind w:firstLine="480"/>
              <w:rPr>
                <w:bCs/>
                <w:szCs w:val="24"/>
              </w:rPr>
            </w:pPr>
            <w:r>
              <w:rPr>
                <w:rFonts w:hint="eastAsia"/>
                <w:bCs/>
                <w:szCs w:val="24"/>
              </w:rPr>
              <w:t>（1）</w:t>
            </w:r>
            <w:r>
              <w:rPr>
                <w:bCs/>
                <w:szCs w:val="24"/>
              </w:rPr>
              <w:t>生态保护红线</w:t>
            </w:r>
          </w:p>
          <w:p>
            <w:pPr>
              <w:pStyle w:val="36"/>
              <w:spacing w:line="360" w:lineRule="auto"/>
              <w:ind w:firstLine="480"/>
              <w:rPr>
                <w:bCs/>
                <w:szCs w:val="24"/>
              </w:rPr>
            </w:pPr>
            <w:r>
              <w:rPr>
                <w:rFonts w:hint="eastAsia"/>
                <w:bCs/>
                <w:szCs w:val="24"/>
              </w:rPr>
              <w:t>本项目位于锦州松山新区松山街道北三道壕子村，项目所在区域无生态保护红线。</w:t>
            </w:r>
          </w:p>
          <w:p>
            <w:pPr>
              <w:pStyle w:val="36"/>
              <w:spacing w:line="360" w:lineRule="auto"/>
              <w:ind w:firstLine="480"/>
              <w:rPr>
                <w:bCs/>
                <w:szCs w:val="24"/>
              </w:rPr>
            </w:pPr>
            <w:r>
              <w:rPr>
                <w:rFonts w:hint="eastAsia"/>
                <w:bCs/>
                <w:szCs w:val="24"/>
              </w:rPr>
              <w:t>（2）</w:t>
            </w:r>
            <w:r>
              <w:rPr>
                <w:bCs/>
                <w:szCs w:val="24"/>
              </w:rPr>
              <w:t>环境质量底线</w:t>
            </w:r>
          </w:p>
          <w:p>
            <w:pPr>
              <w:pStyle w:val="36"/>
              <w:spacing w:line="360" w:lineRule="auto"/>
              <w:ind w:firstLine="480"/>
              <w:rPr>
                <w:bCs/>
                <w:szCs w:val="24"/>
              </w:rPr>
            </w:pPr>
            <w:r>
              <w:rPr>
                <w:rFonts w:hint="eastAsia"/>
                <w:bCs/>
                <w:szCs w:val="24"/>
              </w:rPr>
              <w:t xml:space="preserve">项目所在区域环境空气质量不能稳定达到《环境空气质量标准》 </w:t>
            </w:r>
            <w:r>
              <w:rPr>
                <w:bCs/>
                <w:szCs w:val="24"/>
              </w:rPr>
              <w:t>(GB3095-2012)</w:t>
            </w:r>
            <w:r>
              <w:rPr>
                <w:rFonts w:hint="eastAsia"/>
                <w:bCs/>
                <w:szCs w:val="24"/>
              </w:rPr>
              <w:t xml:space="preserve">中的二级标准。  </w:t>
            </w:r>
          </w:p>
          <w:p>
            <w:pPr>
              <w:pStyle w:val="36"/>
              <w:spacing w:line="360" w:lineRule="auto"/>
              <w:ind w:firstLine="480"/>
              <w:rPr>
                <w:bCs/>
                <w:szCs w:val="24"/>
              </w:rPr>
            </w:pPr>
            <w:r>
              <w:rPr>
                <w:rFonts w:hint="eastAsia"/>
                <w:bCs/>
                <w:szCs w:val="24"/>
              </w:rPr>
              <w:t>本项目区域噪声环境质量现状能够达到《声环境质量标准》</w:t>
            </w:r>
            <w:r>
              <w:rPr>
                <w:bCs/>
                <w:szCs w:val="24"/>
              </w:rPr>
              <w:t>(GB3096-2008)2</w:t>
            </w:r>
            <w:r>
              <w:rPr>
                <w:rFonts w:hint="eastAsia"/>
                <w:bCs/>
                <w:szCs w:val="24"/>
              </w:rPr>
              <w:t>类标准。</w:t>
            </w:r>
          </w:p>
          <w:p>
            <w:pPr>
              <w:pStyle w:val="36"/>
              <w:spacing w:line="360" w:lineRule="auto"/>
              <w:ind w:firstLine="480"/>
              <w:rPr>
                <w:bCs/>
                <w:szCs w:val="24"/>
              </w:rPr>
            </w:pPr>
            <w:r>
              <w:rPr>
                <w:bCs/>
                <w:szCs w:val="24"/>
              </w:rPr>
              <w:t>该项目建设后会产生一定的污染物，如</w:t>
            </w:r>
            <w:r>
              <w:rPr>
                <w:rFonts w:hint="eastAsia"/>
                <w:bCs/>
                <w:szCs w:val="24"/>
              </w:rPr>
              <w:t>粉尘、</w:t>
            </w:r>
            <w:r>
              <w:rPr>
                <w:bCs/>
                <w:szCs w:val="24"/>
              </w:rPr>
              <w:t>生产设备运行产生的噪声等，但在采取相应的污染防治措施后，经预测，本项目</w:t>
            </w:r>
            <w:r>
              <w:rPr>
                <w:rFonts w:hint="eastAsia"/>
                <w:bCs/>
                <w:szCs w:val="24"/>
              </w:rPr>
              <w:t>粉尘、</w:t>
            </w:r>
            <w:r>
              <w:rPr>
                <w:bCs/>
                <w:szCs w:val="24"/>
              </w:rPr>
              <w:t>噪声等污染物的排放均不超标，故对周边环境造成不良影响较小，不会改变区域环境功能区质量要求，能维持环境功能区质量现状。本项目建设不会降低周边环境质量。</w:t>
            </w:r>
          </w:p>
          <w:p>
            <w:pPr>
              <w:pStyle w:val="36"/>
              <w:spacing w:line="360" w:lineRule="auto"/>
              <w:ind w:firstLine="480"/>
              <w:rPr>
                <w:bCs/>
                <w:szCs w:val="24"/>
              </w:rPr>
            </w:pPr>
            <w:r>
              <w:rPr>
                <w:rFonts w:hint="eastAsia"/>
                <w:bCs/>
                <w:szCs w:val="24"/>
              </w:rPr>
              <w:t>（3）</w:t>
            </w:r>
            <w:r>
              <w:rPr>
                <w:bCs/>
                <w:szCs w:val="24"/>
              </w:rPr>
              <w:t>资源利用上线</w:t>
            </w:r>
          </w:p>
          <w:p>
            <w:pPr>
              <w:pStyle w:val="36"/>
              <w:spacing w:line="360" w:lineRule="auto"/>
              <w:ind w:firstLine="480"/>
              <w:rPr>
                <w:bCs/>
                <w:szCs w:val="24"/>
              </w:rPr>
            </w:pPr>
            <w:r>
              <w:rPr>
                <w:bCs/>
                <w:szCs w:val="24"/>
              </w:rPr>
              <w:t>本项目营运过程中用水48</w:t>
            </w:r>
            <w:r>
              <w:rPr>
                <w:rFonts w:hint="eastAsia"/>
                <w:bCs/>
                <w:szCs w:val="24"/>
              </w:rPr>
              <w:t>t</w:t>
            </w:r>
            <w:r>
              <w:rPr>
                <w:bCs/>
                <w:szCs w:val="24"/>
              </w:rPr>
              <w:t>/a，</w:t>
            </w:r>
            <w:r>
              <w:rPr>
                <w:rFonts w:hint="eastAsia"/>
                <w:bCs/>
                <w:szCs w:val="24"/>
              </w:rPr>
              <w:t>由当地自来水厂提供</w:t>
            </w:r>
            <w:r>
              <w:rPr>
                <w:bCs/>
                <w:szCs w:val="24"/>
              </w:rPr>
              <w:t>，用电</w:t>
            </w:r>
            <w:r>
              <w:rPr>
                <w:rFonts w:hint="eastAsia"/>
                <w:bCs/>
                <w:szCs w:val="24"/>
              </w:rPr>
              <w:t>60</w:t>
            </w:r>
            <w:r>
              <w:rPr>
                <w:bCs/>
                <w:szCs w:val="24"/>
              </w:rPr>
              <w:t>万度/a，</w:t>
            </w:r>
            <w:r>
              <w:rPr>
                <w:rFonts w:hint="eastAsia"/>
                <w:bCs/>
                <w:szCs w:val="24"/>
              </w:rPr>
              <w:t>由当地电网提供，不新增用地，</w:t>
            </w:r>
            <w:r>
              <w:rPr>
                <w:bCs/>
                <w:szCs w:val="24"/>
              </w:rPr>
              <w:t>不超出当地资源利用上线。</w:t>
            </w:r>
          </w:p>
          <w:p>
            <w:pPr>
              <w:pStyle w:val="36"/>
              <w:spacing w:line="360" w:lineRule="auto"/>
              <w:ind w:firstLine="480"/>
              <w:rPr>
                <w:bCs/>
                <w:szCs w:val="24"/>
              </w:rPr>
            </w:pPr>
            <w:r>
              <w:rPr>
                <w:rFonts w:hint="eastAsia"/>
                <w:bCs/>
                <w:szCs w:val="24"/>
              </w:rPr>
              <w:t>（4）</w:t>
            </w:r>
            <w:r>
              <w:rPr>
                <w:bCs/>
                <w:szCs w:val="24"/>
              </w:rPr>
              <w:t>环境准入负面清单</w:t>
            </w:r>
          </w:p>
          <w:p>
            <w:pPr>
              <w:pStyle w:val="36"/>
              <w:spacing w:line="360" w:lineRule="auto"/>
              <w:ind w:firstLine="480"/>
              <w:rPr>
                <w:bCs/>
                <w:szCs w:val="24"/>
              </w:rPr>
            </w:pPr>
            <w:r>
              <w:rPr>
                <w:bCs/>
                <w:szCs w:val="24"/>
              </w:rPr>
              <w:t>项目所在区无环境准入负面清单</w:t>
            </w:r>
            <w:r>
              <w:rPr>
                <w:rFonts w:hint="eastAsia"/>
                <w:bCs/>
                <w:szCs w:val="24"/>
              </w:rPr>
              <w:t>。项目符合国家和地方产业政策，项目所在区域水、电资源已经完善。项目产生的生活污水经化粪池预处理后外运至污水处理厂处理，处理后的生活污水不会影响当地水质。</w:t>
            </w:r>
          </w:p>
          <w:p>
            <w:pPr>
              <w:pStyle w:val="36"/>
              <w:spacing w:line="360" w:lineRule="auto"/>
              <w:ind w:firstLine="480"/>
              <w:rPr>
                <w:color w:val="FF0000"/>
                <w:spacing w:val="10"/>
                <w:szCs w:val="24"/>
              </w:rPr>
            </w:pPr>
            <w:r>
              <w:rPr>
                <w:rFonts w:hint="eastAsia"/>
                <w:bCs/>
                <w:szCs w:val="24"/>
              </w:rPr>
              <w:t>综上，本项目满足“生态保护红线、环境质量底线、资源利用上线” 相关要求，不在“环境准入负面清单”范围内。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8" w:hRule="atLeast"/>
        </w:trPr>
        <w:tc>
          <w:tcPr>
            <w:tcW w:w="9039" w:type="dxa"/>
            <w:gridSpan w:val="10"/>
          </w:tcPr>
          <w:p>
            <w:pPr>
              <w:pStyle w:val="2"/>
              <w:spacing w:line="360" w:lineRule="auto"/>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与本项目有关的原有污染情况及主要环境问题：</w:t>
            </w:r>
          </w:p>
          <w:p>
            <w:pPr>
              <w:pStyle w:val="2"/>
              <w:spacing w:line="360" w:lineRule="auto"/>
              <w:ind w:firstLine="480" w:firstLineChars="200"/>
              <w:jc w:val="both"/>
              <w:rPr>
                <w:rFonts w:ascii="宋体" w:hAnsi="宋体" w:eastAsia="宋体"/>
                <w:sz w:val="24"/>
                <w:szCs w:val="24"/>
              </w:rPr>
            </w:pPr>
            <w:r>
              <w:rPr>
                <w:rFonts w:hint="eastAsia" w:ascii="宋体" w:hAnsi="宋体" w:eastAsia="宋体"/>
                <w:sz w:val="24"/>
                <w:szCs w:val="24"/>
              </w:rPr>
              <w:t>本项目位于锦州松山新区松山街道北三道壕子村</w:t>
            </w:r>
            <w:r>
              <w:rPr>
                <w:rFonts w:hint="eastAsia" w:eastAsia="宋体"/>
                <w:sz w:val="24"/>
                <w:szCs w:val="24"/>
              </w:rPr>
              <w:t>，</w:t>
            </w:r>
            <w:r>
              <w:rPr>
                <w:sz w:val="24"/>
                <w:szCs w:val="24"/>
              </w:rPr>
              <w:t>占地面积600m</w:t>
            </w:r>
            <w:r>
              <w:rPr>
                <w:sz w:val="24"/>
                <w:szCs w:val="24"/>
                <w:vertAlign w:val="superscript"/>
              </w:rPr>
              <w:t>2</w:t>
            </w:r>
            <w:r>
              <w:rPr>
                <w:sz w:val="24"/>
                <w:szCs w:val="24"/>
              </w:rPr>
              <w:t>。</w:t>
            </w:r>
            <w:r>
              <w:rPr>
                <w:rFonts w:hint="eastAsia" w:ascii="宋体" w:hAnsi="宋体" w:eastAsia="宋体"/>
                <w:sz w:val="24"/>
                <w:szCs w:val="24"/>
              </w:rPr>
              <w:t>租用原锦州低压电器厂厂房。锦州低压电器厂主</w:t>
            </w:r>
            <w:r>
              <w:rPr>
                <w:rFonts w:ascii="宋体" w:hAnsi="宋体" w:eastAsia="宋体"/>
                <w:sz w:val="24"/>
                <w:szCs w:val="24"/>
              </w:rPr>
              <w:t>要生产</w:t>
            </w:r>
            <w:r>
              <w:rPr>
                <w:rFonts w:hint="eastAsia" w:ascii="宋体" w:hAnsi="宋体" w:eastAsia="宋体"/>
                <w:sz w:val="24"/>
                <w:szCs w:val="24"/>
              </w:rPr>
              <w:t>低压电器开关成套设备及元件，无原有污染问题。</w:t>
            </w:r>
          </w:p>
          <w:p>
            <w:pPr>
              <w:pStyle w:val="2"/>
              <w:spacing w:line="360" w:lineRule="auto"/>
              <w:ind w:firstLine="480" w:firstLineChars="200"/>
              <w:jc w:val="both"/>
              <w:rPr>
                <w:rFonts w:eastAsiaTheme="minorEastAsia"/>
                <w:color w:val="FF0000"/>
                <w:sz w:val="24"/>
                <w:szCs w:val="24"/>
              </w:rPr>
            </w:pPr>
          </w:p>
        </w:tc>
      </w:tr>
    </w:tbl>
    <w:p>
      <w:pPr>
        <w:rPr>
          <w:rFonts w:ascii="宋体" w:hAnsi="宋体" w:eastAsia="宋体"/>
          <w:b/>
          <w:color w:val="FF0000"/>
          <w:sz w:val="24"/>
          <w:szCs w:val="24"/>
        </w:rPr>
        <w:sectPr>
          <w:footerReference r:id="rId5" w:type="default"/>
          <w:pgSz w:w="11906" w:h="16838"/>
          <w:pgMar w:top="1701" w:right="1701" w:bottom="1843" w:left="1701" w:header="851" w:footer="992" w:gutter="0"/>
          <w:pgNumType w:start="1"/>
          <w:cols w:space="720" w:num="1"/>
          <w:docGrid w:type="lines" w:linePitch="480" w:charSpace="0"/>
        </w:sectPr>
      </w:pPr>
    </w:p>
    <w:p>
      <w:pPr>
        <w:outlineLvl w:val="1"/>
        <w:rPr>
          <w:rFonts w:ascii="宋体" w:hAnsi="宋体" w:eastAsia="宋体"/>
          <w:b/>
          <w:sz w:val="24"/>
          <w:szCs w:val="24"/>
        </w:rPr>
      </w:pPr>
      <w:r>
        <w:rPr>
          <w:rFonts w:ascii="宋体" w:hAnsi="宋体" w:eastAsia="宋体"/>
          <w:b/>
          <w:sz w:val="24"/>
          <w:szCs w:val="24"/>
        </w:rPr>
        <w:t>建设项目所在地自然环境概况</w:t>
      </w:r>
    </w:p>
    <w:tbl>
      <w:tblPr>
        <w:tblStyle w:val="2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9" w:hRule="atLeast"/>
        </w:trPr>
        <w:tc>
          <w:tcPr>
            <w:tcW w:w="8720" w:type="dxa"/>
          </w:tcPr>
          <w:p>
            <w:pPr>
              <w:pStyle w:val="36"/>
              <w:spacing w:line="360" w:lineRule="auto"/>
              <w:ind w:firstLine="0" w:firstLineChars="0"/>
              <w:rPr>
                <w:b/>
                <w:bCs/>
                <w:szCs w:val="24"/>
              </w:rPr>
            </w:pPr>
            <w:r>
              <w:rPr>
                <w:rFonts w:hint="eastAsia"/>
                <w:b/>
                <w:bCs/>
                <w:szCs w:val="24"/>
              </w:rPr>
              <w:t>自然环境简况：</w:t>
            </w:r>
          </w:p>
          <w:p>
            <w:pPr>
              <w:pStyle w:val="36"/>
              <w:spacing w:line="360" w:lineRule="auto"/>
              <w:ind w:firstLine="482"/>
              <w:rPr>
                <w:b/>
                <w:bCs/>
                <w:szCs w:val="24"/>
              </w:rPr>
            </w:pPr>
            <w:r>
              <w:rPr>
                <w:b/>
                <w:bCs/>
                <w:szCs w:val="24"/>
              </w:rPr>
              <w:t>1</w:t>
            </w:r>
            <w:r>
              <w:rPr>
                <w:rFonts w:hint="eastAsia"/>
                <w:b/>
                <w:bCs/>
                <w:szCs w:val="24"/>
              </w:rPr>
              <w:t>、地理位置</w:t>
            </w:r>
          </w:p>
          <w:p>
            <w:pPr>
              <w:pStyle w:val="36"/>
              <w:spacing w:line="360" w:lineRule="auto"/>
              <w:ind w:firstLine="480"/>
              <w:rPr>
                <w:bCs/>
                <w:szCs w:val="24"/>
              </w:rPr>
            </w:pPr>
            <w:r>
              <w:rPr>
                <w:rFonts w:hint="eastAsia"/>
                <w:bCs/>
                <w:szCs w:val="24"/>
              </w:rPr>
              <w:t>锦州市位于辽宁省西部，渤海北岸，</w:t>
            </w:r>
            <w:r>
              <w:rPr>
                <w:rFonts w:hint="cs"/>
                <w:bCs/>
                <w:szCs w:val="24"/>
              </w:rPr>
              <w:t>“</w:t>
            </w:r>
            <w:r>
              <w:rPr>
                <w:rFonts w:hint="eastAsia"/>
                <w:bCs/>
                <w:szCs w:val="24"/>
              </w:rPr>
              <w:t>辽西走廊</w:t>
            </w:r>
            <w:r>
              <w:rPr>
                <w:rFonts w:hint="cs"/>
                <w:bCs/>
                <w:szCs w:val="24"/>
              </w:rPr>
              <w:t>”</w:t>
            </w:r>
            <w:r>
              <w:rPr>
                <w:rFonts w:hint="eastAsia"/>
                <w:bCs/>
                <w:szCs w:val="24"/>
              </w:rPr>
              <w:t>东端，地理坐标为</w:t>
            </w:r>
            <w:r>
              <w:rPr>
                <w:bCs/>
                <w:szCs w:val="24"/>
              </w:rPr>
              <w:t>E120°42</w:t>
            </w:r>
            <w:r>
              <w:rPr>
                <w:rFonts w:hint="eastAsia"/>
                <w:bCs/>
                <w:szCs w:val="24"/>
              </w:rPr>
              <w:t>′～</w:t>
            </w:r>
            <w:r>
              <w:rPr>
                <w:bCs/>
                <w:szCs w:val="24"/>
              </w:rPr>
              <w:t>122°36</w:t>
            </w:r>
            <w:r>
              <w:rPr>
                <w:rFonts w:hint="eastAsia"/>
                <w:bCs/>
                <w:szCs w:val="24"/>
              </w:rPr>
              <w:t>′，</w:t>
            </w:r>
            <w:r>
              <w:rPr>
                <w:bCs/>
                <w:szCs w:val="24"/>
              </w:rPr>
              <w:t>N40°48</w:t>
            </w:r>
            <w:r>
              <w:rPr>
                <w:rFonts w:hint="eastAsia"/>
                <w:bCs/>
                <w:szCs w:val="24"/>
              </w:rPr>
              <w:t>′～</w:t>
            </w:r>
            <w:r>
              <w:rPr>
                <w:bCs/>
                <w:szCs w:val="24"/>
              </w:rPr>
              <w:t>42°08</w:t>
            </w:r>
            <w:r>
              <w:rPr>
                <w:rFonts w:hint="eastAsia"/>
                <w:bCs/>
                <w:szCs w:val="24"/>
              </w:rPr>
              <w:t>′之间，东西长</w:t>
            </w:r>
            <w:r>
              <w:rPr>
                <w:bCs/>
                <w:szCs w:val="24"/>
              </w:rPr>
              <w:t xml:space="preserve"> 104.6km</w:t>
            </w:r>
            <w:r>
              <w:rPr>
                <w:rFonts w:hint="eastAsia"/>
                <w:bCs/>
                <w:szCs w:val="24"/>
              </w:rPr>
              <w:t>，南北宽</w:t>
            </w:r>
            <w:r>
              <w:rPr>
                <w:bCs/>
                <w:szCs w:val="24"/>
              </w:rPr>
              <w:t>147.3km</w:t>
            </w:r>
            <w:r>
              <w:rPr>
                <w:rFonts w:hint="eastAsia"/>
                <w:bCs/>
                <w:szCs w:val="24"/>
              </w:rPr>
              <w:t>，陆地面积</w:t>
            </w:r>
            <w:r>
              <w:rPr>
                <w:bCs/>
                <w:szCs w:val="24"/>
              </w:rPr>
              <w:t>10301km2</w:t>
            </w:r>
            <w:r>
              <w:rPr>
                <w:rFonts w:hint="eastAsia"/>
                <w:bCs/>
                <w:szCs w:val="24"/>
              </w:rPr>
              <w:t>，约占全省总面积的</w:t>
            </w:r>
            <w:r>
              <w:rPr>
                <w:bCs/>
                <w:szCs w:val="24"/>
              </w:rPr>
              <w:t>7.05%</w:t>
            </w:r>
            <w:r>
              <w:rPr>
                <w:rFonts w:hint="eastAsia"/>
                <w:bCs/>
                <w:szCs w:val="24"/>
              </w:rPr>
              <w:t>。锦州南临渤海的渤海湾，与营口市隔海相望；北枕松岭山脉与阜新、朝阳市接壤，东接辽河平原与盘锦市、沈阳市相连；西与葫芦岛市毗邻。</w:t>
            </w:r>
          </w:p>
          <w:p>
            <w:pPr>
              <w:pStyle w:val="36"/>
              <w:spacing w:line="360" w:lineRule="auto"/>
              <w:ind w:firstLine="480"/>
              <w:rPr>
                <w:bCs/>
                <w:szCs w:val="24"/>
              </w:rPr>
            </w:pPr>
            <w:r>
              <w:rPr>
                <w:rFonts w:hint="eastAsia"/>
                <w:bCs/>
                <w:szCs w:val="24"/>
              </w:rPr>
              <w:t>松山新区位于锦州主城区南部，西临葫芦岛市乃至京津塘地区，南接锦州港，东连辽宁中部城市群。</w:t>
            </w:r>
          </w:p>
          <w:p>
            <w:pPr>
              <w:pStyle w:val="36"/>
              <w:spacing w:line="360" w:lineRule="auto"/>
              <w:ind w:firstLine="482"/>
              <w:rPr>
                <w:b/>
                <w:bCs/>
                <w:szCs w:val="24"/>
              </w:rPr>
            </w:pPr>
            <w:r>
              <w:rPr>
                <w:b/>
                <w:bCs/>
                <w:szCs w:val="24"/>
              </w:rPr>
              <w:t>2</w:t>
            </w:r>
            <w:r>
              <w:rPr>
                <w:rFonts w:hint="eastAsia"/>
                <w:b/>
                <w:bCs/>
                <w:szCs w:val="24"/>
              </w:rPr>
              <w:t>、地质、地貌</w:t>
            </w:r>
          </w:p>
          <w:p>
            <w:pPr>
              <w:pStyle w:val="36"/>
              <w:spacing w:line="360" w:lineRule="auto"/>
              <w:ind w:firstLine="480"/>
              <w:rPr>
                <w:bCs/>
                <w:szCs w:val="24"/>
              </w:rPr>
            </w:pPr>
            <w:r>
              <w:rPr>
                <w:rFonts w:hint="eastAsia"/>
                <w:bCs/>
                <w:szCs w:val="24"/>
              </w:rPr>
              <w:t>锦州市松山新区所处地带为微丘区，其中坡地占</w:t>
            </w:r>
            <w:r>
              <w:rPr>
                <w:bCs/>
                <w:szCs w:val="24"/>
              </w:rPr>
              <w:t>2/3</w:t>
            </w:r>
            <w:r>
              <w:rPr>
                <w:rFonts w:hint="eastAsia"/>
                <w:bCs/>
                <w:szCs w:val="24"/>
              </w:rPr>
              <w:t>，平地占</w:t>
            </w:r>
            <w:r>
              <w:rPr>
                <w:bCs/>
                <w:szCs w:val="24"/>
              </w:rPr>
              <w:t>1/3</w:t>
            </w:r>
            <w:r>
              <w:rPr>
                <w:rFonts w:hint="eastAsia"/>
                <w:bCs/>
                <w:szCs w:val="24"/>
              </w:rPr>
              <w:t>，西南部地势较高，最高点海拔</w:t>
            </w:r>
            <w:r>
              <w:rPr>
                <w:bCs/>
                <w:szCs w:val="24"/>
              </w:rPr>
              <w:t>65.66m</w:t>
            </w:r>
            <w:r>
              <w:rPr>
                <w:rFonts w:hint="eastAsia"/>
                <w:bCs/>
                <w:szCs w:val="24"/>
              </w:rPr>
              <w:t>，自然坡度≤</w:t>
            </w:r>
            <w:r>
              <w:rPr>
                <w:bCs/>
                <w:szCs w:val="24"/>
              </w:rPr>
              <w:t>0.7</w:t>
            </w:r>
            <w:r>
              <w:rPr>
                <w:rFonts w:hint="eastAsia"/>
                <w:bCs/>
                <w:szCs w:val="24"/>
              </w:rPr>
              <w:t>％，东北部相对平坦，地面高程在海拔</w:t>
            </w:r>
            <w:r>
              <w:rPr>
                <w:bCs/>
                <w:szCs w:val="24"/>
              </w:rPr>
              <w:t xml:space="preserve"> 32</w:t>
            </w:r>
            <w:r>
              <w:rPr>
                <w:rFonts w:hint="eastAsia"/>
                <w:bCs/>
                <w:szCs w:val="24"/>
              </w:rPr>
              <w:t>－</w:t>
            </w:r>
            <w:r>
              <w:rPr>
                <w:bCs/>
                <w:szCs w:val="24"/>
              </w:rPr>
              <w:t xml:space="preserve">38m </w:t>
            </w:r>
            <w:r>
              <w:rPr>
                <w:rFonts w:hint="eastAsia"/>
                <w:bCs/>
                <w:szCs w:val="24"/>
              </w:rPr>
              <w:t>之间。地表岩性为粉质粘土呈黄褐色，可塑，层厚</w:t>
            </w:r>
            <w:r>
              <w:rPr>
                <w:bCs/>
                <w:szCs w:val="24"/>
              </w:rPr>
              <w:t>0.5</w:t>
            </w:r>
            <w:r>
              <w:rPr>
                <w:rFonts w:hint="eastAsia"/>
                <w:bCs/>
                <w:szCs w:val="24"/>
              </w:rPr>
              <w:t>－</w:t>
            </w:r>
            <w:r>
              <w:rPr>
                <w:bCs/>
                <w:szCs w:val="24"/>
              </w:rPr>
              <w:t>5m</w:t>
            </w:r>
            <w:r>
              <w:rPr>
                <w:rFonts w:hint="eastAsia"/>
                <w:bCs/>
                <w:szCs w:val="24"/>
              </w:rPr>
              <w:t>；下层混合花岗岩呈肉红、灰白色，块状构造，节理、裂隙较发育，强风化厚度</w:t>
            </w:r>
            <w:r>
              <w:rPr>
                <w:bCs/>
                <w:szCs w:val="24"/>
              </w:rPr>
              <w:t xml:space="preserve"> </w:t>
            </w:r>
            <w:r>
              <w:rPr>
                <w:rFonts w:hint="eastAsia"/>
                <w:bCs/>
                <w:szCs w:val="24"/>
              </w:rPr>
              <w:t>小于</w:t>
            </w:r>
            <w:r>
              <w:rPr>
                <w:bCs/>
                <w:szCs w:val="24"/>
              </w:rPr>
              <w:t xml:space="preserve"> 18m</w:t>
            </w:r>
            <w:r>
              <w:rPr>
                <w:rFonts w:hint="eastAsia"/>
                <w:bCs/>
                <w:szCs w:val="24"/>
              </w:rPr>
              <w:t>。</w:t>
            </w:r>
          </w:p>
          <w:p>
            <w:pPr>
              <w:pStyle w:val="36"/>
              <w:spacing w:line="360" w:lineRule="auto"/>
              <w:ind w:firstLine="480"/>
              <w:rPr>
                <w:bCs/>
                <w:szCs w:val="24"/>
              </w:rPr>
            </w:pPr>
            <w:r>
              <w:rPr>
                <w:rFonts w:hint="eastAsia"/>
                <w:bCs/>
                <w:szCs w:val="24"/>
              </w:rPr>
              <w:t>该地区属辽西丘陵区长期缓慢抬升地区，受北东和北西向构造发育。地势由</w:t>
            </w:r>
            <w:r>
              <w:rPr>
                <w:bCs/>
                <w:szCs w:val="24"/>
              </w:rPr>
              <w:t xml:space="preserve"> </w:t>
            </w:r>
          </w:p>
          <w:p>
            <w:pPr>
              <w:pStyle w:val="36"/>
              <w:spacing w:line="360" w:lineRule="auto"/>
              <w:ind w:firstLine="480"/>
              <w:rPr>
                <w:bCs/>
                <w:szCs w:val="24"/>
              </w:rPr>
            </w:pPr>
            <w:r>
              <w:rPr>
                <w:rFonts w:hint="eastAsia"/>
                <w:bCs/>
                <w:szCs w:val="24"/>
              </w:rPr>
              <w:t>东往西逐渐低缓，地貌形态以坡洪积扇裙、冲洪积阶地和平原为主，基岩主要为震旦纪、前震旦纪副变质体系，其次为中生代侵入岩体，地震基本烈度为</w:t>
            </w:r>
            <w:r>
              <w:rPr>
                <w:bCs/>
                <w:szCs w:val="24"/>
              </w:rPr>
              <w:t>7</w:t>
            </w:r>
            <w:r>
              <w:rPr>
                <w:rFonts w:hint="eastAsia"/>
                <w:bCs/>
                <w:szCs w:val="24"/>
              </w:rPr>
              <w:t>度。</w:t>
            </w:r>
          </w:p>
          <w:p>
            <w:pPr>
              <w:pStyle w:val="36"/>
              <w:spacing w:line="360" w:lineRule="auto"/>
              <w:ind w:firstLine="480"/>
              <w:rPr>
                <w:bCs/>
                <w:szCs w:val="24"/>
              </w:rPr>
            </w:pPr>
            <w:r>
              <w:rPr>
                <w:rFonts w:hint="eastAsia"/>
                <w:bCs/>
                <w:szCs w:val="24"/>
              </w:rPr>
              <w:t>锦州湾沿岸地形平缓，西北高东南低，平均海拔高度为</w:t>
            </w:r>
            <w:r>
              <w:rPr>
                <w:bCs/>
                <w:szCs w:val="24"/>
              </w:rPr>
              <w:t>0-10m</w:t>
            </w:r>
            <w:r>
              <w:rPr>
                <w:rFonts w:hint="eastAsia"/>
                <w:bCs/>
                <w:szCs w:val="24"/>
              </w:rPr>
              <w:t>。海底地形比较平坦，由西北向东南倾斜，平均水深为</w:t>
            </w:r>
            <w:r>
              <w:rPr>
                <w:bCs/>
                <w:szCs w:val="24"/>
              </w:rPr>
              <w:t>0-3.5m</w:t>
            </w:r>
            <w:r>
              <w:rPr>
                <w:rFonts w:hint="eastAsia"/>
                <w:bCs/>
                <w:szCs w:val="24"/>
              </w:rPr>
              <w:t>，沿岸主要是第四纪的坡积、残积、冲积和海积砂土、亚砂土组成的松散堆积物。</w:t>
            </w:r>
          </w:p>
          <w:p>
            <w:pPr>
              <w:pStyle w:val="36"/>
              <w:spacing w:line="360" w:lineRule="auto"/>
              <w:ind w:firstLine="480"/>
              <w:rPr>
                <w:bCs/>
                <w:szCs w:val="24"/>
              </w:rPr>
            </w:pPr>
            <w:r>
              <w:rPr>
                <w:rFonts w:hint="eastAsia"/>
                <w:bCs/>
                <w:szCs w:val="24"/>
              </w:rPr>
              <w:t>本地区地层单一，表层为海相沉积的</w:t>
            </w:r>
            <w:r>
              <w:rPr>
                <w:bCs/>
                <w:szCs w:val="24"/>
              </w:rPr>
              <w:t>2-3m</w:t>
            </w:r>
            <w:r>
              <w:rPr>
                <w:rFonts w:hint="eastAsia"/>
                <w:bCs/>
                <w:szCs w:val="24"/>
              </w:rPr>
              <w:t>淤泥质亚黏土，以下为陆相沉积</w:t>
            </w:r>
            <w:r>
              <w:rPr>
                <w:bCs/>
                <w:szCs w:val="24"/>
              </w:rPr>
              <w:t xml:space="preserve"> </w:t>
            </w:r>
          </w:p>
          <w:p>
            <w:pPr>
              <w:pStyle w:val="36"/>
              <w:spacing w:line="360" w:lineRule="auto"/>
              <w:ind w:firstLine="0" w:firstLineChars="0"/>
              <w:rPr>
                <w:bCs/>
                <w:szCs w:val="24"/>
              </w:rPr>
            </w:pPr>
            <w:r>
              <w:rPr>
                <w:rFonts w:hint="eastAsia"/>
                <w:bCs/>
                <w:szCs w:val="24"/>
              </w:rPr>
              <w:t>黏土、亚黏土。</w:t>
            </w:r>
          </w:p>
          <w:p>
            <w:pPr>
              <w:pStyle w:val="36"/>
              <w:spacing w:line="360" w:lineRule="auto"/>
              <w:ind w:firstLine="480"/>
              <w:rPr>
                <w:bCs/>
                <w:szCs w:val="24"/>
              </w:rPr>
            </w:pPr>
            <w:r>
              <w:rPr>
                <w:rFonts w:hint="eastAsia"/>
                <w:bCs/>
                <w:szCs w:val="24"/>
              </w:rPr>
              <w:t>锦州市海岸较平直，沙岸多，岩岸少，岛屿较少，仅有大笔架山、小笔架山两岛。沿海滩涂辽阔，总面积达</w:t>
            </w:r>
            <w:r>
              <w:rPr>
                <w:bCs/>
                <w:szCs w:val="24"/>
              </w:rPr>
              <w:t>1.84</w:t>
            </w:r>
            <w:r>
              <w:rPr>
                <w:rFonts w:hint="eastAsia"/>
                <w:bCs/>
                <w:szCs w:val="24"/>
              </w:rPr>
              <w:t>万</w:t>
            </w:r>
            <w:r>
              <w:rPr>
                <w:bCs/>
                <w:szCs w:val="24"/>
              </w:rPr>
              <w:t>ha</w:t>
            </w:r>
            <w:r>
              <w:rPr>
                <w:rFonts w:hint="eastAsia"/>
                <w:bCs/>
                <w:szCs w:val="24"/>
              </w:rPr>
              <w:t>，居辽宁省第二位。主要分布在大凌河口至开发区三角山一带。其次是位于开发区的西海口一带。滩涂连绵不继，东西延伸达</w:t>
            </w:r>
            <w:r>
              <w:rPr>
                <w:bCs/>
                <w:szCs w:val="24"/>
              </w:rPr>
              <w:t>38km</w:t>
            </w:r>
            <w:r>
              <w:rPr>
                <w:rFonts w:hint="eastAsia"/>
                <w:bCs/>
                <w:szCs w:val="24"/>
              </w:rPr>
              <w:t>，宽由</w:t>
            </w:r>
            <w:r>
              <w:rPr>
                <w:bCs/>
                <w:szCs w:val="24"/>
              </w:rPr>
              <w:t>1-5km</w:t>
            </w:r>
            <w:r>
              <w:rPr>
                <w:rFonts w:hint="eastAsia"/>
                <w:bCs/>
                <w:szCs w:val="24"/>
              </w:rPr>
              <w:t>，最大宽度在</w:t>
            </w:r>
            <w:r>
              <w:rPr>
                <w:bCs/>
                <w:szCs w:val="24"/>
              </w:rPr>
              <w:t>8km</w:t>
            </w:r>
            <w:r>
              <w:rPr>
                <w:rFonts w:hint="eastAsia"/>
                <w:bCs/>
                <w:szCs w:val="24"/>
              </w:rPr>
              <w:t>以上，多为大凌河与小凌河及其间一些小河流挟带泥沙在潮水顶托下沉积而成。</w:t>
            </w:r>
          </w:p>
          <w:p>
            <w:pPr>
              <w:pStyle w:val="36"/>
              <w:spacing w:line="360" w:lineRule="auto"/>
              <w:ind w:firstLine="480"/>
              <w:rPr>
                <w:bCs/>
                <w:szCs w:val="24"/>
              </w:rPr>
            </w:pPr>
            <w:r>
              <w:rPr>
                <w:bCs/>
                <w:szCs w:val="24"/>
              </w:rPr>
              <w:t>3</w:t>
            </w:r>
            <w:r>
              <w:rPr>
                <w:rFonts w:hint="eastAsia"/>
                <w:bCs/>
                <w:szCs w:val="24"/>
              </w:rPr>
              <w:t>、水文</w:t>
            </w:r>
          </w:p>
          <w:p>
            <w:pPr>
              <w:pStyle w:val="36"/>
              <w:spacing w:line="360" w:lineRule="auto"/>
              <w:ind w:firstLine="480"/>
              <w:rPr>
                <w:bCs/>
                <w:szCs w:val="24"/>
              </w:rPr>
            </w:pPr>
            <w:r>
              <w:rPr>
                <w:rFonts w:hint="eastAsia"/>
                <w:bCs/>
                <w:szCs w:val="24"/>
              </w:rPr>
              <w:t>地表水：</w:t>
            </w:r>
          </w:p>
          <w:p>
            <w:pPr>
              <w:pStyle w:val="36"/>
              <w:spacing w:line="360" w:lineRule="auto"/>
              <w:ind w:firstLine="480"/>
              <w:rPr>
                <w:bCs/>
                <w:szCs w:val="24"/>
              </w:rPr>
            </w:pPr>
            <w:r>
              <w:rPr>
                <w:rFonts w:hint="eastAsia"/>
                <w:bCs/>
                <w:szCs w:val="24"/>
              </w:rPr>
              <w:t>锦州市源于境外流经境内而且流域面积大于</w:t>
            </w:r>
            <w:r>
              <w:rPr>
                <w:bCs/>
                <w:szCs w:val="24"/>
              </w:rPr>
              <w:t>3000</w:t>
            </w:r>
            <w:r>
              <w:rPr>
                <w:rFonts w:hint="eastAsia"/>
                <w:bCs/>
                <w:szCs w:val="24"/>
              </w:rPr>
              <w:t>平方公里的较大水系有小</w:t>
            </w:r>
            <w:r>
              <w:rPr>
                <w:bCs/>
                <w:szCs w:val="24"/>
              </w:rPr>
              <w:t xml:space="preserve"> </w:t>
            </w:r>
            <w:r>
              <w:rPr>
                <w:rFonts w:hint="eastAsia"/>
                <w:bCs/>
                <w:szCs w:val="24"/>
              </w:rPr>
              <w:t>凌河、大凌河、绕阳河</w:t>
            </w:r>
            <w:r>
              <w:rPr>
                <w:bCs/>
                <w:szCs w:val="24"/>
              </w:rPr>
              <w:t>3</w:t>
            </w:r>
            <w:r>
              <w:rPr>
                <w:rFonts w:hint="eastAsia"/>
                <w:bCs/>
                <w:szCs w:val="24"/>
              </w:rPr>
              <w:t>条，锦州城郊有女儿河、百股河、小坝沟、观音洞水、二郎洞水等河流。其特点为流量小变化大：年径流量只有</w:t>
            </w:r>
            <w:r>
              <w:rPr>
                <w:bCs/>
                <w:szCs w:val="24"/>
              </w:rPr>
              <w:t>30</w:t>
            </w:r>
            <w:r>
              <w:rPr>
                <w:rFonts w:hint="eastAsia"/>
                <w:bCs/>
                <w:szCs w:val="24"/>
              </w:rPr>
              <w:t>多亿立方米。汛期（</w:t>
            </w:r>
            <w:r>
              <w:rPr>
                <w:bCs/>
                <w:szCs w:val="24"/>
              </w:rPr>
              <w:t>6</w:t>
            </w:r>
            <w:r>
              <w:rPr>
                <w:rFonts w:hint="eastAsia"/>
                <w:bCs/>
                <w:szCs w:val="24"/>
              </w:rPr>
              <w:t>～</w:t>
            </w:r>
            <w:r>
              <w:rPr>
                <w:bCs/>
                <w:szCs w:val="24"/>
              </w:rPr>
              <w:t>9</w:t>
            </w:r>
            <w:r>
              <w:rPr>
                <w:rFonts w:hint="eastAsia"/>
                <w:bCs/>
                <w:szCs w:val="24"/>
              </w:rPr>
              <w:t>月）流量占全年流量的</w:t>
            </w:r>
            <w:r>
              <w:rPr>
                <w:bCs/>
                <w:szCs w:val="24"/>
              </w:rPr>
              <w:t>70%</w:t>
            </w:r>
            <w:r>
              <w:rPr>
                <w:rFonts w:hint="eastAsia"/>
                <w:bCs/>
                <w:szCs w:val="24"/>
              </w:rPr>
              <w:t>，其中</w:t>
            </w:r>
            <w:r>
              <w:rPr>
                <w:bCs/>
                <w:szCs w:val="24"/>
              </w:rPr>
              <w:t>7</w:t>
            </w:r>
            <w:r>
              <w:rPr>
                <w:rFonts w:hint="eastAsia"/>
                <w:bCs/>
                <w:szCs w:val="24"/>
              </w:rPr>
              <w:t>、</w:t>
            </w:r>
            <w:r>
              <w:rPr>
                <w:bCs/>
                <w:szCs w:val="24"/>
              </w:rPr>
              <w:t>8</w:t>
            </w:r>
            <w:r>
              <w:rPr>
                <w:rFonts w:hint="eastAsia"/>
                <w:bCs/>
                <w:szCs w:val="24"/>
              </w:rPr>
              <w:t>两月的流量约占全年的一半。</w:t>
            </w:r>
            <w:r>
              <w:rPr>
                <w:bCs/>
                <w:szCs w:val="24"/>
              </w:rPr>
              <w:t>10</w:t>
            </w:r>
            <w:r>
              <w:rPr>
                <w:rFonts w:hint="eastAsia"/>
                <w:bCs/>
                <w:szCs w:val="24"/>
              </w:rPr>
              <w:t>～</w:t>
            </w:r>
            <w:r>
              <w:rPr>
                <w:bCs/>
                <w:szCs w:val="24"/>
              </w:rPr>
              <w:t>5</w:t>
            </w:r>
            <w:r>
              <w:rPr>
                <w:rFonts w:hint="eastAsia"/>
                <w:bCs/>
                <w:szCs w:val="24"/>
              </w:rPr>
              <w:t>月为枯水期，其中</w:t>
            </w:r>
            <w:r>
              <w:rPr>
                <w:bCs/>
                <w:szCs w:val="24"/>
              </w:rPr>
              <w:t>11</w:t>
            </w:r>
            <w:r>
              <w:rPr>
                <w:rFonts w:hint="eastAsia"/>
                <w:bCs/>
                <w:szCs w:val="24"/>
              </w:rPr>
              <w:t>～</w:t>
            </w:r>
            <w:r>
              <w:rPr>
                <w:bCs/>
                <w:szCs w:val="24"/>
              </w:rPr>
              <w:t>3</w:t>
            </w:r>
            <w:r>
              <w:rPr>
                <w:rFonts w:hint="eastAsia"/>
                <w:bCs/>
                <w:szCs w:val="24"/>
              </w:rPr>
              <w:t>月为封冻期，</w:t>
            </w:r>
            <w:r>
              <w:rPr>
                <w:bCs/>
                <w:szCs w:val="24"/>
              </w:rPr>
              <w:t>12</w:t>
            </w:r>
            <w:r>
              <w:rPr>
                <w:rFonts w:hint="eastAsia"/>
                <w:bCs/>
                <w:szCs w:val="24"/>
              </w:rPr>
              <w:t>～</w:t>
            </w:r>
            <w:r>
              <w:rPr>
                <w:bCs/>
                <w:szCs w:val="24"/>
              </w:rPr>
              <w:t>3</w:t>
            </w:r>
            <w:r>
              <w:rPr>
                <w:rFonts w:hint="eastAsia"/>
                <w:bCs/>
                <w:szCs w:val="24"/>
              </w:rPr>
              <w:t>月的流量一般不到</w:t>
            </w:r>
            <w:r>
              <w:rPr>
                <w:bCs/>
                <w:szCs w:val="24"/>
              </w:rPr>
              <w:t>10%</w:t>
            </w:r>
            <w:r>
              <w:rPr>
                <w:rFonts w:hint="eastAsia"/>
                <w:bCs/>
                <w:szCs w:val="24"/>
              </w:rPr>
              <w:t>。春季（</w:t>
            </w:r>
            <w:r>
              <w:rPr>
                <w:bCs/>
                <w:szCs w:val="24"/>
              </w:rPr>
              <w:t>4</w:t>
            </w:r>
            <w:r>
              <w:rPr>
                <w:rFonts w:hint="eastAsia"/>
                <w:bCs/>
                <w:szCs w:val="24"/>
              </w:rPr>
              <w:t>～</w:t>
            </w:r>
            <w:r>
              <w:rPr>
                <w:bCs/>
                <w:szCs w:val="24"/>
              </w:rPr>
              <w:t>5</w:t>
            </w:r>
            <w:r>
              <w:rPr>
                <w:rFonts w:hint="eastAsia"/>
                <w:bCs/>
                <w:szCs w:val="24"/>
              </w:rPr>
              <w:t>月）流量约占</w:t>
            </w:r>
            <w:r>
              <w:rPr>
                <w:bCs/>
                <w:szCs w:val="24"/>
              </w:rPr>
              <w:t>10%</w:t>
            </w:r>
            <w:r>
              <w:rPr>
                <w:rFonts w:hint="eastAsia"/>
                <w:bCs/>
                <w:szCs w:val="24"/>
              </w:rPr>
              <w:t>。由于流量小所以很多河流成为季节性的时令河，平时水浅或完全干涸，女儿河和绕阳河也曾断流，季节性变化大。</w:t>
            </w:r>
          </w:p>
          <w:p>
            <w:pPr>
              <w:pStyle w:val="36"/>
              <w:spacing w:line="360" w:lineRule="auto"/>
              <w:ind w:firstLine="480"/>
              <w:rPr>
                <w:bCs/>
                <w:szCs w:val="24"/>
              </w:rPr>
            </w:pPr>
            <w:r>
              <w:rPr>
                <w:rFonts w:hint="eastAsia"/>
                <w:bCs/>
                <w:szCs w:val="24"/>
              </w:rPr>
              <w:t>小凌河发源于辽宁省建昌县东北境的楼子山东麓，全线</w:t>
            </w:r>
            <w:r>
              <w:rPr>
                <w:bCs/>
                <w:szCs w:val="24"/>
              </w:rPr>
              <w:t>206km</w:t>
            </w:r>
            <w:r>
              <w:rPr>
                <w:rFonts w:hint="eastAsia"/>
                <w:bCs/>
                <w:szCs w:val="24"/>
              </w:rPr>
              <w:t>，流经锦州市区。在锦州境内的流段从缸窑口开始，最终汇入渤海。小凌河是流经锦州市区的</w:t>
            </w:r>
            <w:r>
              <w:rPr>
                <w:bCs/>
                <w:szCs w:val="24"/>
              </w:rPr>
              <w:t xml:space="preserve"> </w:t>
            </w:r>
            <w:r>
              <w:rPr>
                <w:rFonts w:hint="eastAsia"/>
                <w:bCs/>
                <w:szCs w:val="24"/>
              </w:rPr>
              <w:t>唯一河流，发源于朝阳，流经朝阳、锦州，在锦州市郊有女儿河，百股河汇入，于凌海市南娘娘宫乡注入渤海。多年平均径流量为</w:t>
            </w:r>
            <w:r>
              <w:rPr>
                <w:bCs/>
                <w:szCs w:val="24"/>
              </w:rPr>
              <w:t>3.98</w:t>
            </w:r>
            <w:r>
              <w:rPr>
                <w:rFonts w:hint="eastAsia"/>
                <w:bCs/>
                <w:szCs w:val="24"/>
              </w:rPr>
              <w:t>亿</w:t>
            </w:r>
            <w:r>
              <w:rPr>
                <w:bCs/>
                <w:szCs w:val="24"/>
              </w:rPr>
              <w:t>m3/a,</w:t>
            </w:r>
            <w:r>
              <w:rPr>
                <w:rFonts w:hint="eastAsia"/>
                <w:bCs/>
                <w:szCs w:val="24"/>
              </w:rPr>
              <w:t>年最小流量为</w:t>
            </w:r>
            <w:r>
              <w:rPr>
                <w:bCs/>
                <w:szCs w:val="24"/>
              </w:rPr>
              <w:t>0.55</w:t>
            </w:r>
            <w:r>
              <w:rPr>
                <w:rFonts w:hint="eastAsia"/>
                <w:bCs/>
                <w:szCs w:val="24"/>
              </w:rPr>
              <w:t>亿</w:t>
            </w:r>
            <w:r>
              <w:rPr>
                <w:bCs/>
                <w:szCs w:val="24"/>
              </w:rPr>
              <w:t>t</w:t>
            </w:r>
            <w:r>
              <w:rPr>
                <w:rFonts w:hint="eastAsia"/>
                <w:bCs/>
                <w:szCs w:val="24"/>
              </w:rPr>
              <w:t>。小凌河地表水是沿岸地下水的补给源之一。</w:t>
            </w:r>
          </w:p>
          <w:p>
            <w:pPr>
              <w:pStyle w:val="36"/>
              <w:spacing w:line="360" w:lineRule="auto"/>
              <w:ind w:firstLine="480"/>
              <w:rPr>
                <w:bCs/>
                <w:szCs w:val="24"/>
              </w:rPr>
            </w:pPr>
            <w:r>
              <w:rPr>
                <w:rFonts w:hint="eastAsia"/>
                <w:bCs/>
                <w:szCs w:val="24"/>
              </w:rPr>
              <w:t>地下水</w:t>
            </w:r>
            <w:r>
              <w:rPr>
                <w:bCs/>
                <w:szCs w:val="24"/>
              </w:rPr>
              <w:t>:</w:t>
            </w:r>
          </w:p>
          <w:p>
            <w:pPr>
              <w:pStyle w:val="36"/>
              <w:spacing w:line="360" w:lineRule="auto"/>
              <w:ind w:firstLine="480"/>
              <w:rPr>
                <w:bCs/>
                <w:szCs w:val="24"/>
              </w:rPr>
            </w:pPr>
            <w:r>
              <w:rPr>
                <w:rFonts w:hint="eastAsia"/>
                <w:bCs/>
                <w:szCs w:val="24"/>
              </w:rPr>
              <w:t>当地地下水类型为基岩裂隙水，主要埋藏于花岗岩风化壳中，稳定水位埋深</w:t>
            </w:r>
            <w:r>
              <w:rPr>
                <w:bCs/>
                <w:szCs w:val="24"/>
              </w:rPr>
              <w:t>16.3-0.00m</w:t>
            </w:r>
            <w:r>
              <w:rPr>
                <w:rFonts w:hint="eastAsia"/>
                <w:bCs/>
                <w:szCs w:val="24"/>
              </w:rPr>
              <w:t>，高程</w:t>
            </w:r>
            <w:r>
              <w:rPr>
                <w:bCs/>
                <w:szCs w:val="24"/>
              </w:rPr>
              <w:t>46.16-40.23m</w:t>
            </w:r>
            <w:r>
              <w:rPr>
                <w:rFonts w:hint="eastAsia"/>
                <w:bCs/>
                <w:szCs w:val="24"/>
              </w:rPr>
              <w:t>，主要靠大气降水及地下侧向径流补给，蒸发为其主要排泄方式，地下水年变幅约</w:t>
            </w:r>
            <w:r>
              <w:rPr>
                <w:bCs/>
                <w:szCs w:val="24"/>
              </w:rPr>
              <w:t>1.0m</w:t>
            </w:r>
            <w:r>
              <w:rPr>
                <w:rFonts w:hint="eastAsia"/>
                <w:bCs/>
                <w:szCs w:val="24"/>
              </w:rPr>
              <w:t>。地下水化学类型为</w:t>
            </w:r>
            <w:r>
              <w:rPr>
                <w:bCs/>
                <w:szCs w:val="24"/>
              </w:rPr>
              <w:t>NO3·SO4-Ca·Na</w:t>
            </w:r>
            <w:r>
              <w:rPr>
                <w:rFonts w:hint="eastAsia"/>
                <w:bCs/>
                <w:szCs w:val="24"/>
              </w:rPr>
              <w:t>型。</w:t>
            </w:r>
          </w:p>
          <w:p>
            <w:pPr>
              <w:pStyle w:val="36"/>
              <w:spacing w:line="360" w:lineRule="auto"/>
              <w:ind w:firstLine="480"/>
              <w:rPr>
                <w:bCs/>
                <w:szCs w:val="24"/>
              </w:rPr>
            </w:pPr>
            <w:r>
              <w:rPr>
                <w:bCs/>
                <w:szCs w:val="24"/>
              </w:rPr>
              <w:t>4</w:t>
            </w:r>
            <w:r>
              <w:rPr>
                <w:rFonts w:hint="eastAsia"/>
                <w:bCs/>
                <w:szCs w:val="24"/>
              </w:rPr>
              <w:t>、气候特征</w:t>
            </w:r>
          </w:p>
          <w:p>
            <w:pPr>
              <w:pStyle w:val="36"/>
              <w:spacing w:line="360" w:lineRule="auto"/>
              <w:ind w:firstLine="480"/>
              <w:rPr>
                <w:bCs/>
                <w:szCs w:val="24"/>
              </w:rPr>
            </w:pPr>
            <w:r>
              <w:rPr>
                <w:rFonts w:hint="eastAsia"/>
                <w:bCs/>
                <w:szCs w:val="24"/>
              </w:rPr>
              <w:t>锦州市地处辽宁省西部，属北温带半湿润大陆性季风气候区。常年温差较大，四季分明，春季多风少雨，回暖迅速，气候干燥；夏季炎热高温，多雨潮湿；秋季气温下降，雨量骤减；冬季干冷降水少，多晴朗天气。夏季最高气温可达到</w:t>
            </w:r>
            <w:r>
              <w:rPr>
                <w:bCs/>
                <w:szCs w:val="24"/>
              </w:rPr>
              <w:t>36</w:t>
            </w:r>
            <w:r>
              <w:rPr>
                <w:rFonts w:hint="eastAsia"/>
                <w:bCs/>
                <w:szCs w:val="24"/>
              </w:rPr>
              <w:t>～</w:t>
            </w:r>
            <w:r>
              <w:rPr>
                <w:bCs/>
                <w:szCs w:val="24"/>
              </w:rPr>
              <w:t>39</w:t>
            </w:r>
            <w:r>
              <w:rPr>
                <w:rFonts w:hint="eastAsia"/>
                <w:bCs/>
                <w:szCs w:val="24"/>
              </w:rPr>
              <w:t>℃，但时间较短，平均气温在</w:t>
            </w:r>
            <w:r>
              <w:rPr>
                <w:bCs/>
                <w:szCs w:val="24"/>
              </w:rPr>
              <w:t>24</w:t>
            </w:r>
            <w:r>
              <w:rPr>
                <w:rFonts w:hint="eastAsia"/>
                <w:bCs/>
                <w:szCs w:val="24"/>
              </w:rPr>
              <w:t>℃左右。</w:t>
            </w:r>
          </w:p>
          <w:p>
            <w:pPr>
              <w:pStyle w:val="36"/>
              <w:spacing w:line="360" w:lineRule="auto"/>
              <w:ind w:firstLine="480"/>
              <w:rPr>
                <w:bCs/>
                <w:szCs w:val="24"/>
              </w:rPr>
            </w:pPr>
            <w:r>
              <w:rPr>
                <w:rFonts w:hint="eastAsia"/>
                <w:bCs/>
                <w:szCs w:val="24"/>
              </w:rPr>
              <w:t>常年主导风向为</w:t>
            </w:r>
            <w:r>
              <w:rPr>
                <w:bCs/>
                <w:szCs w:val="24"/>
              </w:rPr>
              <w:t>SW</w:t>
            </w:r>
            <w:r>
              <w:rPr>
                <w:rFonts w:hint="eastAsia"/>
                <w:bCs/>
                <w:szCs w:val="24"/>
              </w:rPr>
              <w:t>，频率为</w:t>
            </w:r>
            <w:r>
              <w:rPr>
                <w:bCs/>
                <w:szCs w:val="24"/>
              </w:rPr>
              <w:t>16.29</w:t>
            </w:r>
            <w:r>
              <w:rPr>
                <w:rFonts w:hint="eastAsia"/>
                <w:bCs/>
                <w:szCs w:val="24"/>
              </w:rPr>
              <w:t>％。次主导风为</w:t>
            </w:r>
            <w:r>
              <w:rPr>
                <w:bCs/>
                <w:szCs w:val="24"/>
              </w:rPr>
              <w:t>N</w:t>
            </w:r>
            <w:r>
              <w:rPr>
                <w:rFonts w:hint="eastAsia"/>
                <w:bCs/>
                <w:szCs w:val="24"/>
              </w:rPr>
              <w:t>，频率为</w:t>
            </w:r>
            <w:r>
              <w:rPr>
                <w:bCs/>
                <w:szCs w:val="24"/>
              </w:rPr>
              <w:t>16.23</w:t>
            </w:r>
            <w:r>
              <w:rPr>
                <w:rFonts w:hint="eastAsia"/>
                <w:bCs/>
                <w:szCs w:val="24"/>
              </w:rPr>
              <w:t>％，强风为西南，最大风速为</w:t>
            </w:r>
            <w:r>
              <w:rPr>
                <w:bCs/>
                <w:szCs w:val="24"/>
              </w:rPr>
              <w:t>24.3m/s</w:t>
            </w:r>
            <w:r>
              <w:rPr>
                <w:rFonts w:hint="eastAsia"/>
                <w:bCs/>
                <w:szCs w:val="24"/>
              </w:rPr>
              <w:t>，平均风速</w:t>
            </w:r>
            <w:r>
              <w:rPr>
                <w:bCs/>
                <w:szCs w:val="24"/>
              </w:rPr>
              <w:t>3.6m/s</w:t>
            </w:r>
            <w:r>
              <w:rPr>
                <w:rFonts w:hint="eastAsia"/>
                <w:bCs/>
                <w:szCs w:val="24"/>
              </w:rPr>
              <w:t>。锦州地区随季风的转换，降雨主要集中于</w:t>
            </w:r>
            <w:r>
              <w:rPr>
                <w:bCs/>
                <w:szCs w:val="24"/>
              </w:rPr>
              <w:t>6-9</w:t>
            </w:r>
            <w:r>
              <w:rPr>
                <w:rFonts w:hint="eastAsia"/>
                <w:bCs/>
                <w:szCs w:val="24"/>
              </w:rPr>
              <w:t>月，降水量占全年的</w:t>
            </w:r>
            <w:r>
              <w:rPr>
                <w:bCs/>
                <w:szCs w:val="24"/>
              </w:rPr>
              <w:t>76</w:t>
            </w:r>
            <w:r>
              <w:rPr>
                <w:rFonts w:hint="eastAsia"/>
                <w:bCs/>
                <w:szCs w:val="24"/>
              </w:rPr>
              <w:t>％，年平均湿度为</w:t>
            </w:r>
            <w:r>
              <w:rPr>
                <w:bCs/>
                <w:szCs w:val="24"/>
              </w:rPr>
              <w:t>65</w:t>
            </w:r>
            <w:r>
              <w:rPr>
                <w:rFonts w:hint="eastAsia"/>
                <w:bCs/>
                <w:szCs w:val="24"/>
              </w:rPr>
              <w:t>％，根据大笔架山海洋站</w:t>
            </w:r>
            <w:r>
              <w:rPr>
                <w:bCs/>
                <w:szCs w:val="24"/>
              </w:rPr>
              <w:t>1987</w:t>
            </w:r>
            <w:r>
              <w:rPr>
                <w:rFonts w:hint="eastAsia"/>
                <w:bCs/>
                <w:szCs w:val="24"/>
              </w:rPr>
              <w:t>－</w:t>
            </w:r>
            <w:r>
              <w:rPr>
                <w:bCs/>
                <w:szCs w:val="24"/>
              </w:rPr>
              <w:t>1991</w:t>
            </w:r>
            <w:r>
              <w:rPr>
                <w:rFonts w:hint="eastAsia"/>
                <w:bCs/>
                <w:szCs w:val="24"/>
              </w:rPr>
              <w:t>年降水资料统计，年平均降水量</w:t>
            </w:r>
            <w:r>
              <w:rPr>
                <w:bCs/>
                <w:szCs w:val="24"/>
              </w:rPr>
              <w:t>541</w:t>
            </w:r>
            <w:r>
              <w:rPr>
                <w:rFonts w:hint="eastAsia"/>
                <w:bCs/>
                <w:szCs w:val="24"/>
              </w:rPr>
              <w:t>－</w:t>
            </w:r>
            <w:r>
              <w:rPr>
                <w:bCs/>
                <w:szCs w:val="24"/>
              </w:rPr>
              <w:t>640mm</w:t>
            </w:r>
            <w:r>
              <w:rPr>
                <w:rFonts w:hint="eastAsia"/>
                <w:bCs/>
                <w:szCs w:val="24"/>
              </w:rPr>
              <w:t>，年最大降雨量</w:t>
            </w:r>
            <w:r>
              <w:rPr>
                <w:bCs/>
                <w:szCs w:val="24"/>
              </w:rPr>
              <w:t>796.6mm</w:t>
            </w:r>
            <w:r>
              <w:rPr>
                <w:rFonts w:hint="eastAsia"/>
                <w:bCs/>
                <w:szCs w:val="24"/>
              </w:rPr>
              <w:t>，日最大降雨量</w:t>
            </w:r>
            <w:r>
              <w:rPr>
                <w:bCs/>
                <w:szCs w:val="24"/>
              </w:rPr>
              <w:t xml:space="preserve"> 70-220mm</w:t>
            </w:r>
            <w:r>
              <w:rPr>
                <w:rFonts w:hint="eastAsia"/>
                <w:bCs/>
                <w:szCs w:val="24"/>
              </w:rPr>
              <w:t>。</w:t>
            </w:r>
          </w:p>
          <w:p>
            <w:pPr>
              <w:pStyle w:val="36"/>
              <w:spacing w:line="360" w:lineRule="auto"/>
              <w:ind w:firstLine="480"/>
              <w:rPr>
                <w:bCs/>
                <w:szCs w:val="24"/>
              </w:rPr>
            </w:pPr>
            <w:r>
              <w:rPr>
                <w:bCs/>
                <w:szCs w:val="24"/>
              </w:rPr>
              <w:t>5</w:t>
            </w:r>
            <w:r>
              <w:rPr>
                <w:rFonts w:hint="eastAsia"/>
                <w:bCs/>
                <w:szCs w:val="24"/>
              </w:rPr>
              <w:t>、植被</w:t>
            </w:r>
          </w:p>
          <w:p>
            <w:pPr>
              <w:pStyle w:val="36"/>
              <w:spacing w:line="360" w:lineRule="auto"/>
              <w:ind w:firstLine="480"/>
              <w:rPr>
                <w:bCs/>
                <w:szCs w:val="24"/>
              </w:rPr>
            </w:pPr>
            <w:r>
              <w:rPr>
                <w:rFonts w:hint="eastAsia"/>
                <w:bCs/>
                <w:szCs w:val="24"/>
              </w:rPr>
              <w:t>项目所在地植被乔木树种主要有榆树、刺槐、杨、柳等；灌木以紫穗槐、荆条、山杏、胡榛子居多；草本植物主要是禾本科、菊科、豆科、蔷薇科、莎草科植物。本项目位置目前为农作物，以玉米高粱为主。</w:t>
            </w:r>
          </w:p>
          <w:p>
            <w:pPr>
              <w:pStyle w:val="36"/>
              <w:spacing w:line="360" w:lineRule="auto"/>
              <w:ind w:firstLine="480"/>
              <w:rPr>
                <w:bCs/>
                <w:szCs w:val="24"/>
              </w:rPr>
            </w:pPr>
          </w:p>
          <w:p>
            <w:pPr>
              <w:pStyle w:val="36"/>
              <w:spacing w:line="360" w:lineRule="auto"/>
              <w:ind w:firstLine="480"/>
              <w:rPr>
                <w:bCs/>
                <w:szCs w:val="24"/>
              </w:rPr>
            </w:pPr>
          </w:p>
          <w:p>
            <w:pPr>
              <w:pStyle w:val="36"/>
              <w:spacing w:line="360" w:lineRule="auto"/>
              <w:ind w:firstLine="480"/>
              <w:rPr>
                <w:bCs/>
                <w:szCs w:val="24"/>
              </w:rPr>
            </w:pPr>
          </w:p>
          <w:p>
            <w:pPr>
              <w:pStyle w:val="36"/>
              <w:spacing w:line="360" w:lineRule="auto"/>
              <w:ind w:firstLine="480"/>
              <w:rPr>
                <w:bCs/>
                <w:szCs w:val="24"/>
              </w:rPr>
            </w:pPr>
          </w:p>
          <w:p>
            <w:pPr>
              <w:pStyle w:val="36"/>
              <w:spacing w:line="360" w:lineRule="auto"/>
              <w:ind w:firstLine="480"/>
              <w:rPr>
                <w:bCs/>
                <w:szCs w:val="24"/>
              </w:rPr>
            </w:pPr>
          </w:p>
          <w:p>
            <w:pPr>
              <w:pStyle w:val="36"/>
              <w:spacing w:line="360" w:lineRule="auto"/>
              <w:ind w:firstLine="480"/>
              <w:rPr>
                <w:bCs/>
                <w:szCs w:val="24"/>
              </w:rPr>
            </w:pPr>
          </w:p>
          <w:p>
            <w:pPr>
              <w:pStyle w:val="36"/>
              <w:spacing w:line="360" w:lineRule="auto"/>
              <w:ind w:firstLine="480"/>
              <w:rPr>
                <w:bCs/>
                <w:szCs w:val="24"/>
              </w:rPr>
            </w:pPr>
          </w:p>
          <w:p>
            <w:pPr>
              <w:tabs>
                <w:tab w:val="left" w:pos="2880"/>
              </w:tabs>
              <w:snapToGrid w:val="0"/>
              <w:spacing w:line="360" w:lineRule="auto"/>
              <w:ind w:firstLine="480" w:firstLineChars="200"/>
              <w:rPr>
                <w:bCs/>
                <w:color w:val="FF0000"/>
                <w:sz w:val="24"/>
              </w:rPr>
            </w:pPr>
          </w:p>
          <w:p>
            <w:pPr>
              <w:tabs>
                <w:tab w:val="left" w:pos="2880"/>
              </w:tabs>
              <w:snapToGrid w:val="0"/>
              <w:spacing w:line="360" w:lineRule="auto"/>
              <w:ind w:firstLine="480" w:firstLineChars="200"/>
              <w:rPr>
                <w:bCs/>
                <w:color w:val="FF0000"/>
                <w:sz w:val="24"/>
              </w:rPr>
            </w:pPr>
          </w:p>
          <w:p>
            <w:pPr>
              <w:tabs>
                <w:tab w:val="left" w:pos="2880"/>
              </w:tabs>
              <w:snapToGrid w:val="0"/>
              <w:spacing w:line="360" w:lineRule="auto"/>
              <w:ind w:firstLine="480" w:firstLineChars="200"/>
              <w:rPr>
                <w:bCs/>
                <w:color w:val="FF0000"/>
                <w:sz w:val="24"/>
              </w:rPr>
            </w:pPr>
          </w:p>
          <w:p>
            <w:pPr>
              <w:tabs>
                <w:tab w:val="left" w:pos="2880"/>
              </w:tabs>
              <w:snapToGrid w:val="0"/>
              <w:spacing w:line="360" w:lineRule="auto"/>
              <w:ind w:firstLine="480" w:firstLineChars="200"/>
              <w:rPr>
                <w:color w:val="FF0000"/>
                <w:sz w:val="24"/>
              </w:rPr>
            </w:pPr>
          </w:p>
        </w:tc>
      </w:tr>
    </w:tbl>
    <w:p>
      <w:pPr>
        <w:rPr>
          <w:rFonts w:ascii="宋体" w:hAnsi="宋体" w:eastAsia="宋体"/>
          <w:b/>
          <w:sz w:val="24"/>
          <w:szCs w:val="24"/>
        </w:rPr>
      </w:pPr>
    </w:p>
    <w:p>
      <w:pPr>
        <w:pStyle w:val="2"/>
      </w:pPr>
      <w:r>
        <w:br w:type="page"/>
      </w:r>
    </w:p>
    <w:p>
      <w:pPr>
        <w:rPr>
          <w:rFonts w:ascii="宋体" w:hAnsi="宋体" w:eastAsia="宋体"/>
          <w:b/>
          <w:sz w:val="24"/>
          <w:szCs w:val="24"/>
        </w:rPr>
      </w:pPr>
      <w:r>
        <w:rPr>
          <w:rFonts w:ascii="宋体" w:hAnsi="宋体" w:eastAsia="宋体"/>
          <w:b/>
          <w:sz w:val="24"/>
          <w:szCs w:val="24"/>
        </w:rPr>
        <w:t>环境质量状况</w:t>
      </w:r>
    </w:p>
    <w:tbl>
      <w:tblPr>
        <w:tblStyle w:val="25"/>
        <w:tblW w:w="91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9" w:hRule="atLeast"/>
        </w:trPr>
        <w:tc>
          <w:tcPr>
            <w:tcW w:w="9178" w:type="dxa"/>
          </w:tcPr>
          <w:p>
            <w:pPr>
              <w:pStyle w:val="36"/>
              <w:spacing w:line="360" w:lineRule="auto"/>
              <w:ind w:firstLine="0" w:firstLineChars="0"/>
              <w:rPr>
                <w:b/>
                <w:bCs/>
              </w:rPr>
            </w:pPr>
            <w:r>
              <w:rPr>
                <w:b/>
                <w:bCs/>
              </w:rPr>
              <w:t>建设项目所在地区域环境质量现状及主要环境问题（环境空气、声环境、生态环境等）</w:t>
            </w:r>
          </w:p>
          <w:p>
            <w:pPr>
              <w:pStyle w:val="36"/>
              <w:spacing w:line="360" w:lineRule="auto"/>
              <w:ind w:firstLine="482"/>
              <w:rPr>
                <w:b/>
                <w:bCs/>
                <w:szCs w:val="24"/>
              </w:rPr>
            </w:pPr>
            <w:bookmarkStart w:id="3" w:name="_Toc293934113"/>
            <w:bookmarkEnd w:id="3"/>
            <w:bookmarkStart w:id="4" w:name="_Toc325981631"/>
            <w:bookmarkEnd w:id="4"/>
            <w:bookmarkStart w:id="5" w:name="_Toc293934114"/>
            <w:bookmarkEnd w:id="5"/>
            <w:bookmarkStart w:id="6" w:name="_Toc261335555"/>
            <w:bookmarkStart w:id="7" w:name="_Toc261335556"/>
            <w:bookmarkStart w:id="8" w:name="_Toc325981635"/>
            <w:r>
              <w:rPr>
                <w:b/>
                <w:szCs w:val="24"/>
              </w:rPr>
              <w:t>1.环境空气质量</w:t>
            </w:r>
            <w:bookmarkEnd w:id="6"/>
          </w:p>
          <w:bookmarkEnd w:id="7"/>
          <w:p>
            <w:pPr>
              <w:pStyle w:val="36"/>
              <w:spacing w:line="360" w:lineRule="auto"/>
              <w:ind w:firstLine="480"/>
              <w:rPr>
                <w:bCs/>
                <w:szCs w:val="24"/>
              </w:rPr>
            </w:pPr>
            <w:r>
              <w:rPr>
                <w:rFonts w:hint="eastAsia"/>
                <w:bCs/>
                <w:szCs w:val="24"/>
              </w:rPr>
              <w:t>（1）达</w:t>
            </w:r>
            <w:r>
              <w:rPr>
                <w:bCs/>
                <w:szCs w:val="24"/>
              </w:rPr>
              <w:t>标区判断</w:t>
            </w:r>
          </w:p>
          <w:p>
            <w:pPr>
              <w:pStyle w:val="36"/>
              <w:spacing w:line="360" w:lineRule="auto"/>
              <w:ind w:firstLine="480"/>
              <w:rPr>
                <w:bCs/>
                <w:szCs w:val="24"/>
              </w:rPr>
            </w:pPr>
            <w:r>
              <w:rPr>
                <w:rFonts w:hint="eastAsia"/>
                <w:bCs/>
                <w:szCs w:val="24"/>
              </w:rPr>
              <w:t>根据《锦州市环境质量公报》(2018)，全年监测365天，达到或优于国家二级标准的天数为276天，同比增加21天，空气质量优良达标率75.6%，同比上升4.8个百分点。其中达到一级优的天数为56天，同比增加17天。</w:t>
            </w:r>
          </w:p>
          <w:p>
            <w:pPr>
              <w:spacing w:line="360" w:lineRule="auto"/>
              <w:jc w:val="center"/>
              <w:rPr>
                <w:rFonts w:ascii="宋体" w:hAnsi="宋体" w:eastAsia="宋体" w:cs="宋体"/>
                <w:sz w:val="24"/>
                <w:szCs w:val="22"/>
              </w:rPr>
            </w:pPr>
            <w:r>
              <w:rPr>
                <w:rFonts w:hint="eastAsia" w:ascii="宋体" w:hAnsi="宋体" w:eastAsia="宋体" w:cs="宋体"/>
                <w:sz w:val="24"/>
                <w:szCs w:val="22"/>
              </w:rPr>
              <w:t>表3-1                     环境空气质量结果</w:t>
            </w:r>
          </w:p>
          <w:tbl>
            <w:tblPr>
              <w:tblStyle w:val="25"/>
              <w:tblW w:w="852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1740"/>
              <w:gridCol w:w="1420"/>
              <w:gridCol w:w="1421"/>
              <w:gridCol w:w="1421"/>
              <w:gridCol w:w="14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05" w:type="dxa"/>
                  <w:tcBorders>
                    <w:top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污染物</w:t>
                  </w:r>
                </w:p>
              </w:tc>
              <w:tc>
                <w:tcPr>
                  <w:tcW w:w="1740" w:type="dxa"/>
                  <w:tcBorders>
                    <w:top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年评价指标</w:t>
                  </w:r>
                </w:p>
              </w:tc>
              <w:tc>
                <w:tcPr>
                  <w:tcW w:w="1420" w:type="dxa"/>
                  <w:tcBorders>
                    <w:top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现状浓度</w:t>
                  </w:r>
                </w:p>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μg/m</w:t>
                  </w:r>
                  <w:r>
                    <w:rPr>
                      <w:rFonts w:hint="eastAsia" w:ascii="宋体" w:hAnsi="宋体" w:eastAsia="宋体" w:cs="宋体"/>
                      <w:kern w:val="0"/>
                      <w:sz w:val="20"/>
                      <w:szCs w:val="21"/>
                      <w:vertAlign w:val="superscript"/>
                    </w:rPr>
                    <w:t>3</w:t>
                  </w:r>
                </w:p>
              </w:tc>
              <w:tc>
                <w:tcPr>
                  <w:tcW w:w="1421" w:type="dxa"/>
                  <w:tcBorders>
                    <w:top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标准值</w:t>
                  </w:r>
                </w:p>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μg/m</w:t>
                  </w:r>
                  <w:r>
                    <w:rPr>
                      <w:rFonts w:hint="eastAsia" w:ascii="宋体" w:hAnsi="宋体" w:eastAsia="宋体" w:cs="宋体"/>
                      <w:kern w:val="0"/>
                      <w:sz w:val="20"/>
                      <w:szCs w:val="21"/>
                      <w:vertAlign w:val="superscript"/>
                    </w:rPr>
                    <w:t>3</w:t>
                  </w:r>
                </w:p>
              </w:tc>
              <w:tc>
                <w:tcPr>
                  <w:tcW w:w="1421" w:type="dxa"/>
                  <w:tcBorders>
                    <w:top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占标率</w:t>
                  </w:r>
                </w:p>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w:t>
                  </w:r>
                </w:p>
              </w:tc>
              <w:tc>
                <w:tcPr>
                  <w:tcW w:w="1415" w:type="dxa"/>
                  <w:tcBorders>
                    <w:top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5" w:type="dxa"/>
                  <w:vAlign w:val="center"/>
                </w:tcPr>
                <w:p>
                  <w:pPr>
                    <w:adjustRightInd w:val="0"/>
                    <w:snapToGrid w:val="0"/>
                    <w:spacing w:line="240" w:lineRule="atLeast"/>
                    <w:jc w:val="center"/>
                    <w:rPr>
                      <w:rFonts w:ascii="宋体" w:hAnsi="宋体" w:eastAsia="宋体" w:cs="宋体"/>
                      <w:kern w:val="0"/>
                      <w:sz w:val="20"/>
                      <w:szCs w:val="21"/>
                      <w:vertAlign w:val="subscript"/>
                    </w:rPr>
                  </w:pPr>
                  <w:r>
                    <w:rPr>
                      <w:rFonts w:hint="eastAsia" w:ascii="宋体" w:hAnsi="宋体" w:eastAsia="宋体" w:cs="宋体"/>
                      <w:kern w:val="0"/>
                      <w:sz w:val="20"/>
                      <w:szCs w:val="21"/>
                    </w:rPr>
                    <w:t>PM</w:t>
                  </w:r>
                  <w:r>
                    <w:rPr>
                      <w:rFonts w:hint="eastAsia" w:ascii="宋体" w:hAnsi="宋体" w:eastAsia="宋体" w:cs="宋体"/>
                      <w:kern w:val="0"/>
                      <w:sz w:val="20"/>
                      <w:szCs w:val="21"/>
                      <w:vertAlign w:val="subscript"/>
                    </w:rPr>
                    <w:t>10</w:t>
                  </w:r>
                </w:p>
              </w:tc>
              <w:tc>
                <w:tcPr>
                  <w:tcW w:w="174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年平均质量浓度</w:t>
                  </w:r>
                </w:p>
              </w:tc>
              <w:tc>
                <w:tcPr>
                  <w:tcW w:w="142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78</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70ug/m</w:t>
                  </w:r>
                  <w:r>
                    <w:rPr>
                      <w:rFonts w:hint="eastAsia" w:ascii="宋体" w:hAnsi="宋体" w:eastAsia="宋体" w:cs="宋体"/>
                      <w:kern w:val="0"/>
                      <w:sz w:val="20"/>
                      <w:szCs w:val="21"/>
                      <w:vertAlign w:val="superscript"/>
                    </w:rPr>
                    <w:t>3</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1.11</w:t>
                  </w:r>
                </w:p>
              </w:tc>
              <w:tc>
                <w:tcPr>
                  <w:tcW w:w="1415"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105" w:type="dxa"/>
                  <w:vAlign w:val="center"/>
                </w:tcPr>
                <w:p>
                  <w:pPr>
                    <w:adjustRightInd w:val="0"/>
                    <w:snapToGrid w:val="0"/>
                    <w:spacing w:line="240" w:lineRule="atLeast"/>
                    <w:jc w:val="center"/>
                    <w:rPr>
                      <w:rFonts w:ascii="宋体" w:hAnsi="宋体" w:eastAsia="宋体" w:cs="宋体"/>
                      <w:kern w:val="0"/>
                      <w:sz w:val="20"/>
                      <w:szCs w:val="21"/>
                      <w:vertAlign w:val="subscript"/>
                    </w:rPr>
                  </w:pPr>
                  <w:r>
                    <w:rPr>
                      <w:rFonts w:hint="eastAsia" w:ascii="宋体" w:hAnsi="宋体" w:eastAsia="宋体" w:cs="宋体"/>
                      <w:kern w:val="0"/>
                      <w:sz w:val="20"/>
                      <w:szCs w:val="21"/>
                    </w:rPr>
                    <w:t>PM</w:t>
                  </w:r>
                  <w:r>
                    <w:rPr>
                      <w:rFonts w:hint="eastAsia" w:ascii="宋体" w:hAnsi="宋体" w:eastAsia="宋体" w:cs="宋体"/>
                      <w:kern w:val="0"/>
                      <w:sz w:val="20"/>
                      <w:szCs w:val="21"/>
                      <w:vertAlign w:val="subscript"/>
                    </w:rPr>
                    <w:t>2.5</w:t>
                  </w:r>
                </w:p>
              </w:tc>
              <w:tc>
                <w:tcPr>
                  <w:tcW w:w="174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年平均质量浓度</w:t>
                  </w:r>
                </w:p>
              </w:tc>
              <w:tc>
                <w:tcPr>
                  <w:tcW w:w="142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46</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35ug/m</w:t>
                  </w:r>
                  <w:r>
                    <w:rPr>
                      <w:rFonts w:hint="eastAsia" w:ascii="宋体" w:hAnsi="宋体" w:eastAsia="宋体" w:cs="宋体"/>
                      <w:kern w:val="0"/>
                      <w:sz w:val="20"/>
                      <w:szCs w:val="21"/>
                      <w:vertAlign w:val="superscript"/>
                    </w:rPr>
                    <w:t>3</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1.31</w:t>
                  </w:r>
                </w:p>
              </w:tc>
              <w:tc>
                <w:tcPr>
                  <w:tcW w:w="1415"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05"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SO</w:t>
                  </w:r>
                  <w:r>
                    <w:rPr>
                      <w:rFonts w:hint="eastAsia" w:ascii="宋体" w:hAnsi="宋体" w:eastAsia="宋体" w:cs="宋体"/>
                      <w:kern w:val="0"/>
                      <w:sz w:val="20"/>
                      <w:szCs w:val="21"/>
                      <w:vertAlign w:val="subscript"/>
                    </w:rPr>
                    <w:t>2</w:t>
                  </w:r>
                </w:p>
              </w:tc>
              <w:tc>
                <w:tcPr>
                  <w:tcW w:w="174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年平均质量浓度</w:t>
                  </w:r>
                </w:p>
              </w:tc>
              <w:tc>
                <w:tcPr>
                  <w:tcW w:w="142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39</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60ug/m</w:t>
                  </w:r>
                  <w:r>
                    <w:rPr>
                      <w:rFonts w:hint="eastAsia" w:ascii="宋体" w:hAnsi="宋体" w:eastAsia="宋体" w:cs="宋体"/>
                      <w:kern w:val="0"/>
                      <w:sz w:val="20"/>
                      <w:szCs w:val="21"/>
                      <w:vertAlign w:val="superscript"/>
                    </w:rPr>
                    <w:t>3</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0.65</w:t>
                  </w:r>
                </w:p>
              </w:tc>
              <w:tc>
                <w:tcPr>
                  <w:tcW w:w="1415"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5" w:type="dxa"/>
                  <w:vAlign w:val="center"/>
                </w:tcPr>
                <w:p>
                  <w:pPr>
                    <w:adjustRightInd w:val="0"/>
                    <w:snapToGrid w:val="0"/>
                    <w:spacing w:line="240" w:lineRule="atLeast"/>
                    <w:jc w:val="center"/>
                    <w:rPr>
                      <w:rFonts w:ascii="宋体" w:hAnsi="宋体" w:eastAsia="宋体" w:cs="宋体"/>
                      <w:kern w:val="0"/>
                      <w:sz w:val="20"/>
                      <w:szCs w:val="21"/>
                      <w:vertAlign w:val="subscript"/>
                    </w:rPr>
                  </w:pPr>
                  <w:r>
                    <w:rPr>
                      <w:rFonts w:hint="eastAsia" w:ascii="宋体" w:hAnsi="宋体" w:eastAsia="宋体" w:cs="宋体"/>
                      <w:kern w:val="0"/>
                      <w:sz w:val="20"/>
                      <w:szCs w:val="21"/>
                    </w:rPr>
                    <w:t>NO</w:t>
                  </w:r>
                  <w:r>
                    <w:rPr>
                      <w:rFonts w:hint="eastAsia" w:ascii="宋体" w:hAnsi="宋体" w:eastAsia="宋体" w:cs="宋体"/>
                      <w:kern w:val="0"/>
                      <w:sz w:val="20"/>
                      <w:szCs w:val="21"/>
                      <w:vertAlign w:val="subscript"/>
                    </w:rPr>
                    <w:t>2</w:t>
                  </w:r>
                </w:p>
              </w:tc>
              <w:tc>
                <w:tcPr>
                  <w:tcW w:w="174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年平均质量浓度</w:t>
                  </w:r>
                </w:p>
              </w:tc>
              <w:tc>
                <w:tcPr>
                  <w:tcW w:w="142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35</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40ug/m</w:t>
                  </w:r>
                  <w:r>
                    <w:rPr>
                      <w:rFonts w:hint="eastAsia" w:ascii="宋体" w:hAnsi="宋体" w:eastAsia="宋体" w:cs="宋体"/>
                      <w:kern w:val="0"/>
                      <w:sz w:val="20"/>
                      <w:szCs w:val="21"/>
                      <w:vertAlign w:val="superscript"/>
                    </w:rPr>
                    <w:t>3</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0.88</w:t>
                  </w:r>
                </w:p>
              </w:tc>
              <w:tc>
                <w:tcPr>
                  <w:tcW w:w="1415"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105"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CO</w:t>
                  </w:r>
                </w:p>
              </w:tc>
              <w:tc>
                <w:tcPr>
                  <w:tcW w:w="1740"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第95百分位数</w:t>
                  </w:r>
                </w:p>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日平均质量浓度</w:t>
                  </w:r>
                </w:p>
              </w:tc>
              <w:tc>
                <w:tcPr>
                  <w:tcW w:w="1420" w:type="dxa"/>
                  <w:vAlign w:val="center"/>
                </w:tcPr>
                <w:p>
                  <w:pPr>
                    <w:adjustRightInd w:val="0"/>
                    <w:snapToGrid w:val="0"/>
                    <w:spacing w:line="240" w:lineRule="atLeast"/>
                    <w:jc w:val="center"/>
                    <w:rPr>
                      <w:rFonts w:ascii="宋体" w:hAnsi="宋体" w:eastAsia="宋体" w:cs="宋体"/>
                      <w:kern w:val="0"/>
                      <w:sz w:val="20"/>
                      <w:szCs w:val="21"/>
                      <w:vertAlign w:val="superscript"/>
                    </w:rPr>
                  </w:pPr>
                  <w:r>
                    <w:rPr>
                      <w:rFonts w:hint="eastAsia" w:ascii="宋体" w:hAnsi="宋体" w:eastAsia="宋体" w:cs="宋体"/>
                      <w:kern w:val="0"/>
                      <w:sz w:val="20"/>
                      <w:szCs w:val="21"/>
                    </w:rPr>
                    <w:t>1.8</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4.0mg/m</w:t>
                  </w:r>
                  <w:r>
                    <w:rPr>
                      <w:rFonts w:hint="eastAsia" w:ascii="宋体" w:hAnsi="宋体" w:eastAsia="宋体" w:cs="宋体"/>
                      <w:kern w:val="0"/>
                      <w:sz w:val="20"/>
                      <w:szCs w:val="21"/>
                      <w:vertAlign w:val="superscript"/>
                    </w:rPr>
                    <w:t>3</w:t>
                  </w:r>
                </w:p>
              </w:tc>
              <w:tc>
                <w:tcPr>
                  <w:tcW w:w="1421"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0.45</w:t>
                  </w:r>
                </w:p>
              </w:tc>
              <w:tc>
                <w:tcPr>
                  <w:tcW w:w="1415" w:type="dxa"/>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1105" w:type="dxa"/>
                  <w:tcBorders>
                    <w:bottom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O</w:t>
                  </w:r>
                  <w:r>
                    <w:rPr>
                      <w:rFonts w:hint="eastAsia" w:ascii="宋体" w:hAnsi="宋体" w:eastAsia="宋体" w:cs="宋体"/>
                      <w:kern w:val="0"/>
                      <w:sz w:val="20"/>
                      <w:szCs w:val="21"/>
                      <w:vertAlign w:val="subscript"/>
                    </w:rPr>
                    <w:t>3</w:t>
                  </w:r>
                </w:p>
              </w:tc>
              <w:tc>
                <w:tcPr>
                  <w:tcW w:w="1740" w:type="dxa"/>
                  <w:tcBorders>
                    <w:bottom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第90百分位数8h平均质量浓度</w:t>
                  </w:r>
                </w:p>
              </w:tc>
              <w:tc>
                <w:tcPr>
                  <w:tcW w:w="1420" w:type="dxa"/>
                  <w:tcBorders>
                    <w:bottom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151</w:t>
                  </w:r>
                </w:p>
              </w:tc>
              <w:tc>
                <w:tcPr>
                  <w:tcW w:w="1421" w:type="dxa"/>
                  <w:tcBorders>
                    <w:bottom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160ug/m</w:t>
                  </w:r>
                  <w:r>
                    <w:rPr>
                      <w:rFonts w:hint="eastAsia" w:ascii="宋体" w:hAnsi="宋体" w:eastAsia="宋体" w:cs="宋体"/>
                      <w:kern w:val="0"/>
                      <w:sz w:val="20"/>
                      <w:szCs w:val="21"/>
                      <w:vertAlign w:val="superscript"/>
                    </w:rPr>
                    <w:t>3</w:t>
                  </w:r>
                </w:p>
              </w:tc>
              <w:tc>
                <w:tcPr>
                  <w:tcW w:w="1421" w:type="dxa"/>
                  <w:tcBorders>
                    <w:bottom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0.94</w:t>
                  </w:r>
                </w:p>
              </w:tc>
              <w:tc>
                <w:tcPr>
                  <w:tcW w:w="1415" w:type="dxa"/>
                  <w:tcBorders>
                    <w:bottom w:val="double" w:color="auto" w:sz="4" w:space="0"/>
                  </w:tcBorders>
                  <w:vAlign w:val="center"/>
                </w:tcPr>
                <w:p>
                  <w:pPr>
                    <w:adjustRightInd w:val="0"/>
                    <w:snapToGrid w:val="0"/>
                    <w:spacing w:line="240" w:lineRule="atLeast"/>
                    <w:jc w:val="center"/>
                    <w:rPr>
                      <w:rFonts w:ascii="宋体" w:hAnsi="宋体" w:eastAsia="宋体" w:cs="宋体"/>
                      <w:kern w:val="0"/>
                      <w:sz w:val="20"/>
                      <w:szCs w:val="21"/>
                    </w:rPr>
                  </w:pPr>
                  <w:r>
                    <w:rPr>
                      <w:rFonts w:hint="eastAsia" w:ascii="宋体" w:hAnsi="宋体" w:eastAsia="宋体" w:cs="宋体"/>
                      <w:kern w:val="0"/>
                      <w:sz w:val="20"/>
                      <w:szCs w:val="21"/>
                    </w:rPr>
                    <w:t>达标</w:t>
                  </w:r>
                </w:p>
              </w:tc>
            </w:tr>
          </w:tbl>
          <w:p>
            <w:pPr>
              <w:pStyle w:val="36"/>
              <w:spacing w:line="360" w:lineRule="auto"/>
              <w:ind w:firstLine="480"/>
              <w:rPr>
                <w:bCs/>
                <w:szCs w:val="24"/>
              </w:rPr>
            </w:pPr>
            <w:r>
              <w:rPr>
                <w:rFonts w:hint="eastAsia"/>
                <w:bCs/>
                <w:szCs w:val="24"/>
              </w:rPr>
              <w:t>PM10年均值、PM2.5年均值超过《环境空气质量标准》(GB3095-2012)二级标准；二氧化硫（SO2）年均值、二氧化氮（NO2）年均值、一氧化碳（CO）日均值第95百分位数浓度值、臭氧（O3）日最大8小时平均值第90百分位数浓度值均满足《环境空气质量标准》(GB3095-2012)二级标准。</w:t>
            </w:r>
          </w:p>
          <w:p>
            <w:pPr>
              <w:pStyle w:val="36"/>
              <w:spacing w:line="360" w:lineRule="auto"/>
              <w:ind w:firstLine="480"/>
              <w:rPr>
                <w:bCs/>
                <w:szCs w:val="24"/>
              </w:rPr>
            </w:pPr>
            <w:r>
              <w:rPr>
                <w:rFonts w:hint="eastAsia"/>
                <w:bCs/>
                <w:szCs w:val="24"/>
              </w:rPr>
              <w:t>综上内容判定，本项目所在区域环境空气质量不达标。</w:t>
            </w:r>
          </w:p>
          <w:p>
            <w:pPr>
              <w:pStyle w:val="36"/>
              <w:spacing w:line="360" w:lineRule="auto"/>
              <w:ind w:firstLine="480"/>
              <w:rPr>
                <w:bCs/>
                <w:szCs w:val="24"/>
              </w:rPr>
            </w:pPr>
            <w:r>
              <w:rPr>
                <w:rFonts w:hint="eastAsia"/>
                <w:bCs/>
                <w:szCs w:val="24"/>
              </w:rPr>
              <w:t>（</w:t>
            </w:r>
            <w:r>
              <w:rPr>
                <w:bCs/>
                <w:szCs w:val="24"/>
              </w:rPr>
              <w:t>2</w:t>
            </w:r>
            <w:r>
              <w:rPr>
                <w:rFonts w:hint="eastAsia"/>
                <w:bCs/>
                <w:szCs w:val="24"/>
              </w:rPr>
              <w:t>）补充监测</w:t>
            </w:r>
          </w:p>
          <w:p>
            <w:pPr>
              <w:pStyle w:val="36"/>
              <w:spacing w:line="360" w:lineRule="auto"/>
              <w:ind w:firstLine="480"/>
              <w:rPr>
                <w:kern w:val="0"/>
                <w:szCs w:val="24"/>
                <w:lang w:bidi="ar"/>
              </w:rPr>
            </w:pPr>
            <w:r>
              <w:rPr>
                <w:rFonts w:hint="eastAsia"/>
                <w:kern w:val="0"/>
                <w:szCs w:val="24"/>
                <w:lang w:bidi="ar"/>
              </w:rPr>
              <w:t>为了解项目所在区域其他因子环境空气质量现状，本评价委托辽宁华鸿检测技术服务有限公司于</w:t>
            </w:r>
            <w:r>
              <w:rPr>
                <w:kern w:val="0"/>
                <w:szCs w:val="24"/>
                <w:lang w:bidi="ar"/>
              </w:rPr>
              <w:t xml:space="preserve"> 2020 </w:t>
            </w:r>
            <w:r>
              <w:rPr>
                <w:rFonts w:hint="eastAsia"/>
                <w:kern w:val="0"/>
                <w:szCs w:val="24"/>
                <w:lang w:bidi="ar"/>
              </w:rPr>
              <w:t>年</w:t>
            </w:r>
            <w:r>
              <w:rPr>
                <w:kern w:val="0"/>
                <w:szCs w:val="24"/>
                <w:lang w:bidi="ar"/>
              </w:rPr>
              <w:t xml:space="preserve"> 6</w:t>
            </w:r>
            <w:r>
              <w:rPr>
                <w:rFonts w:hint="eastAsia"/>
                <w:kern w:val="0"/>
                <w:szCs w:val="24"/>
                <w:lang w:bidi="ar"/>
              </w:rPr>
              <w:t>月</w:t>
            </w:r>
            <w:r>
              <w:rPr>
                <w:kern w:val="0"/>
                <w:szCs w:val="24"/>
                <w:lang w:bidi="ar"/>
              </w:rPr>
              <w:t xml:space="preserve"> 14</w:t>
            </w:r>
            <w:r>
              <w:rPr>
                <w:rFonts w:hint="eastAsia"/>
                <w:kern w:val="0"/>
                <w:szCs w:val="24"/>
                <w:lang w:bidi="ar"/>
              </w:rPr>
              <w:t>日</w:t>
            </w:r>
            <w:r>
              <w:rPr>
                <w:kern w:val="0"/>
                <w:szCs w:val="24"/>
                <w:lang w:bidi="ar"/>
              </w:rPr>
              <w:t>-2020</w:t>
            </w:r>
            <w:r>
              <w:rPr>
                <w:rFonts w:hint="eastAsia"/>
                <w:kern w:val="0"/>
                <w:szCs w:val="24"/>
                <w:lang w:bidi="ar"/>
              </w:rPr>
              <w:t>年</w:t>
            </w:r>
            <w:r>
              <w:rPr>
                <w:kern w:val="0"/>
                <w:szCs w:val="24"/>
                <w:lang w:bidi="ar"/>
              </w:rPr>
              <w:t xml:space="preserve"> 6</w:t>
            </w:r>
            <w:r>
              <w:rPr>
                <w:rFonts w:hint="eastAsia"/>
                <w:kern w:val="0"/>
                <w:szCs w:val="24"/>
                <w:lang w:bidi="ar"/>
              </w:rPr>
              <w:t>月</w:t>
            </w:r>
            <w:r>
              <w:rPr>
                <w:kern w:val="0"/>
                <w:szCs w:val="24"/>
                <w:lang w:bidi="ar"/>
              </w:rPr>
              <w:t xml:space="preserve"> 20</w:t>
            </w:r>
            <w:r>
              <w:rPr>
                <w:rFonts w:hint="eastAsia"/>
                <w:kern w:val="0"/>
                <w:szCs w:val="24"/>
                <w:lang w:bidi="ar"/>
              </w:rPr>
              <w:t>日对本项目可能</w:t>
            </w:r>
            <w:r>
              <w:rPr>
                <w:kern w:val="0"/>
                <w:szCs w:val="24"/>
                <w:lang w:bidi="ar"/>
              </w:rPr>
              <w:t>产生的</w:t>
            </w:r>
            <w:r>
              <w:rPr>
                <w:rFonts w:hint="eastAsia"/>
                <w:kern w:val="0"/>
                <w:szCs w:val="24"/>
                <w:lang w:bidi="ar"/>
              </w:rPr>
              <w:t>的其他污染物非甲</w:t>
            </w:r>
            <w:r>
              <w:rPr>
                <w:kern w:val="0"/>
                <w:szCs w:val="24"/>
                <w:lang w:bidi="ar"/>
              </w:rPr>
              <w:t>烷总烃</w:t>
            </w:r>
            <w:r>
              <w:rPr>
                <w:rFonts w:hint="eastAsia"/>
                <w:kern w:val="0"/>
                <w:szCs w:val="24"/>
                <w:lang w:bidi="ar"/>
              </w:rPr>
              <w:t>进行了监测。监测</w:t>
            </w:r>
            <w:r>
              <w:rPr>
                <w:kern w:val="0"/>
                <w:szCs w:val="24"/>
                <w:lang w:bidi="ar"/>
              </w:rPr>
              <w:t>7</w:t>
            </w:r>
            <w:r>
              <w:rPr>
                <w:rFonts w:hint="eastAsia"/>
                <w:kern w:val="0"/>
                <w:szCs w:val="24"/>
                <w:lang w:bidi="ar"/>
              </w:rPr>
              <w:t>天，每天采样</w:t>
            </w:r>
            <w:r>
              <w:rPr>
                <w:kern w:val="0"/>
                <w:szCs w:val="24"/>
                <w:lang w:bidi="ar"/>
              </w:rPr>
              <w:t>4</w:t>
            </w:r>
            <w:r>
              <w:rPr>
                <w:rFonts w:hint="eastAsia"/>
                <w:kern w:val="0"/>
                <w:szCs w:val="24"/>
                <w:lang w:bidi="ar"/>
              </w:rPr>
              <w:t>次（</w:t>
            </w:r>
            <w:r>
              <w:rPr>
                <w:kern w:val="0"/>
                <w:szCs w:val="24"/>
                <w:lang w:bidi="ar"/>
              </w:rPr>
              <w:t>2</w:t>
            </w:r>
            <w:r>
              <w:rPr>
                <w:rFonts w:hint="eastAsia"/>
                <w:kern w:val="0"/>
                <w:szCs w:val="24"/>
                <w:lang w:bidi="ar"/>
              </w:rPr>
              <w:t>：</w:t>
            </w:r>
            <w:r>
              <w:rPr>
                <w:kern w:val="0"/>
                <w:szCs w:val="24"/>
                <w:lang w:bidi="ar"/>
              </w:rPr>
              <w:t>00</w:t>
            </w:r>
            <w:r>
              <w:rPr>
                <w:rFonts w:hint="eastAsia"/>
                <w:kern w:val="0"/>
                <w:szCs w:val="24"/>
                <w:lang w:bidi="ar"/>
              </w:rPr>
              <w:t>、</w:t>
            </w:r>
            <w:r>
              <w:rPr>
                <w:kern w:val="0"/>
                <w:szCs w:val="24"/>
                <w:lang w:bidi="ar"/>
              </w:rPr>
              <w:t>8</w:t>
            </w:r>
            <w:r>
              <w:rPr>
                <w:rFonts w:hint="eastAsia"/>
                <w:kern w:val="0"/>
                <w:szCs w:val="24"/>
                <w:lang w:bidi="ar"/>
              </w:rPr>
              <w:t>：</w:t>
            </w:r>
            <w:r>
              <w:rPr>
                <w:kern w:val="0"/>
                <w:szCs w:val="24"/>
                <w:lang w:bidi="ar"/>
              </w:rPr>
              <w:t>00</w:t>
            </w:r>
            <w:r>
              <w:rPr>
                <w:rFonts w:hint="eastAsia"/>
                <w:kern w:val="0"/>
                <w:szCs w:val="24"/>
                <w:lang w:bidi="ar"/>
              </w:rPr>
              <w:t>、</w:t>
            </w:r>
            <w:r>
              <w:rPr>
                <w:kern w:val="0"/>
                <w:szCs w:val="24"/>
                <w:lang w:bidi="ar"/>
              </w:rPr>
              <w:t>14</w:t>
            </w:r>
            <w:r>
              <w:rPr>
                <w:rFonts w:hint="eastAsia"/>
                <w:kern w:val="0"/>
                <w:szCs w:val="24"/>
                <w:lang w:bidi="ar"/>
              </w:rPr>
              <w:t>：</w:t>
            </w:r>
            <w:r>
              <w:rPr>
                <w:kern w:val="0"/>
                <w:szCs w:val="24"/>
                <w:lang w:bidi="ar"/>
              </w:rPr>
              <w:t>00</w:t>
            </w:r>
            <w:r>
              <w:rPr>
                <w:rFonts w:hint="eastAsia"/>
                <w:kern w:val="0"/>
                <w:szCs w:val="24"/>
                <w:lang w:bidi="ar"/>
              </w:rPr>
              <w:t>、</w:t>
            </w:r>
            <w:r>
              <w:rPr>
                <w:kern w:val="0"/>
                <w:szCs w:val="24"/>
                <w:lang w:bidi="ar"/>
              </w:rPr>
              <w:t>20</w:t>
            </w:r>
            <w:r>
              <w:rPr>
                <w:rFonts w:hint="eastAsia"/>
                <w:kern w:val="0"/>
                <w:szCs w:val="24"/>
                <w:lang w:bidi="ar"/>
              </w:rPr>
              <w:t>：</w:t>
            </w:r>
            <w:r>
              <w:rPr>
                <w:kern w:val="0"/>
                <w:szCs w:val="24"/>
                <w:lang w:bidi="ar"/>
              </w:rPr>
              <w:t>00</w:t>
            </w:r>
            <w:r>
              <w:rPr>
                <w:rFonts w:hint="eastAsia"/>
                <w:kern w:val="0"/>
                <w:szCs w:val="24"/>
                <w:lang w:bidi="ar"/>
              </w:rPr>
              <w:t>），</w:t>
            </w:r>
            <w:r>
              <w:rPr>
                <w:kern w:val="0"/>
                <w:szCs w:val="24"/>
                <w:lang w:bidi="ar"/>
              </w:rPr>
              <w:t>监测点</w:t>
            </w:r>
            <w:r>
              <w:rPr>
                <w:rFonts w:hint="eastAsia"/>
                <w:kern w:val="0"/>
                <w:szCs w:val="24"/>
                <w:lang w:bidi="ar"/>
              </w:rPr>
              <w:t>位</w:t>
            </w:r>
            <w:r>
              <w:rPr>
                <w:kern w:val="0"/>
                <w:szCs w:val="24"/>
                <w:lang w:bidi="ar"/>
              </w:rPr>
              <w:t>为厂址处及</w:t>
            </w:r>
            <w:r>
              <w:rPr>
                <w:rFonts w:hint="eastAsia"/>
                <w:kern w:val="0"/>
                <w:szCs w:val="24"/>
                <w:lang w:bidi="ar"/>
              </w:rPr>
              <w:t>厂</w:t>
            </w:r>
            <w:r>
              <w:rPr>
                <w:kern w:val="0"/>
                <w:szCs w:val="24"/>
                <w:lang w:bidi="ar"/>
              </w:rPr>
              <w:t>址西北方向北三道壕村。</w:t>
            </w:r>
            <w:r>
              <w:rPr>
                <w:rFonts w:hint="eastAsia"/>
                <w:kern w:val="0"/>
                <w:szCs w:val="24"/>
                <w:lang w:bidi="ar"/>
              </w:rPr>
              <w:t>监测结果见表</w:t>
            </w:r>
            <w:r>
              <w:rPr>
                <w:kern w:val="0"/>
                <w:szCs w:val="24"/>
                <w:lang w:bidi="ar"/>
              </w:rPr>
              <w:t>3-2</w:t>
            </w:r>
            <w:r>
              <w:rPr>
                <w:rFonts w:hint="eastAsia"/>
                <w:kern w:val="0"/>
                <w:szCs w:val="24"/>
                <w:lang w:bidi="ar"/>
              </w:rPr>
              <w:t>。</w:t>
            </w:r>
          </w:p>
          <w:p>
            <w:pPr>
              <w:rPr>
                <w:lang w:bidi="ar"/>
              </w:rPr>
            </w:pPr>
          </w:p>
          <w:p>
            <w:pPr>
              <w:pStyle w:val="2"/>
              <w:rPr>
                <w:lang w:bidi="ar"/>
              </w:rPr>
            </w:pPr>
          </w:p>
          <w:p>
            <w:pPr>
              <w:rPr>
                <w:lang w:bidi="ar"/>
              </w:rPr>
            </w:pPr>
          </w:p>
          <w:p>
            <w:pPr>
              <w:pStyle w:val="36"/>
              <w:spacing w:line="240" w:lineRule="auto"/>
              <w:ind w:firstLine="0" w:firstLineChars="0"/>
              <w:jc w:val="center"/>
            </w:pPr>
            <w:r>
              <w:rPr>
                <w:rFonts w:hint="eastAsia" w:ascii="宋体" w:hAnsi="宋体" w:cs="宋体"/>
                <w:szCs w:val="22"/>
              </w:rPr>
              <w:t>表</w:t>
            </w:r>
            <w:r>
              <w:rPr>
                <w:rFonts w:ascii="宋体" w:hAnsi="宋体" w:cs="宋体"/>
                <w:szCs w:val="22"/>
              </w:rPr>
              <w:t xml:space="preserve">3-2        </w:t>
            </w:r>
            <w:r>
              <w:rPr>
                <w:rFonts w:hint="eastAsia" w:ascii="宋体" w:hAnsi="宋体" w:cs="宋体"/>
                <w:szCs w:val="22"/>
              </w:rPr>
              <w:t xml:space="preserve">补充监测结果 </w:t>
            </w:r>
            <w:r>
              <w:rPr>
                <w:rFonts w:ascii="宋体" w:hAnsi="宋体" w:cs="宋体"/>
                <w:szCs w:val="22"/>
              </w:rPr>
              <w:t xml:space="preserve"> </w:t>
            </w:r>
            <w:r>
              <w:rPr>
                <w:rFonts w:ascii="黑体" w:hAnsi="黑体" w:eastAsia="黑体" w:cs="黑体"/>
                <w:b/>
                <w:bCs/>
                <w:sz w:val="21"/>
                <w:szCs w:val="21"/>
              </w:rPr>
              <w:t xml:space="preserve">   </w:t>
            </w:r>
            <w:r>
              <w:rPr>
                <w:rFonts w:cs="黑体" w:asciiTheme="minorEastAsia" w:hAnsiTheme="minorEastAsia" w:eastAsiaTheme="minorEastAsia"/>
                <w:bCs/>
                <w:sz w:val="21"/>
                <w:szCs w:val="21"/>
              </w:rPr>
              <w:t xml:space="preserve"> </w:t>
            </w:r>
            <w:r>
              <w:rPr>
                <w:rFonts w:hint="eastAsia" w:cs="黑体" w:asciiTheme="minorEastAsia" w:hAnsiTheme="minorEastAsia" w:eastAsiaTheme="minorEastAsia"/>
                <w:bCs/>
                <w:sz w:val="21"/>
                <w:szCs w:val="21"/>
              </w:rPr>
              <w:t>单位：mg/m</w:t>
            </w:r>
            <w:r>
              <w:rPr>
                <w:rFonts w:hint="eastAsia" w:cs="黑体" w:asciiTheme="minorEastAsia" w:hAnsiTheme="minorEastAsia" w:eastAsiaTheme="minorEastAsia"/>
                <w:bCs/>
                <w:sz w:val="21"/>
                <w:szCs w:val="21"/>
                <w:vertAlign w:val="superscript"/>
              </w:rPr>
              <w:t>3</w:t>
            </w:r>
          </w:p>
          <w:tbl>
            <w:tblPr>
              <w:tblStyle w:val="26"/>
              <w:tblW w:w="77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3" w:type="dxa"/>
              </w:tblCellMar>
            </w:tblPr>
            <w:tblGrid>
              <w:gridCol w:w="999"/>
              <w:gridCol w:w="1125"/>
              <w:gridCol w:w="1905"/>
              <w:gridCol w:w="933"/>
              <w:gridCol w:w="992"/>
              <w:gridCol w:w="993"/>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658" w:hRule="atLeast"/>
                <w:tblHeader/>
                <w:jc w:val="center"/>
              </w:trPr>
              <w:tc>
                <w:tcPr>
                  <w:tcW w:w="999" w:type="dxa"/>
                  <w:tcBorders>
                    <w:tl2br w:val="nil"/>
                    <w:tr2bl w:val="nil"/>
                  </w:tcBorders>
                  <w:vAlign w:val="center"/>
                </w:tcPr>
                <w:p>
                  <w:pPr>
                    <w:jc w:val="center"/>
                    <w:rPr>
                      <w:rFonts w:eastAsia="宋体"/>
                      <w:sz w:val="21"/>
                      <w:szCs w:val="21"/>
                    </w:rPr>
                  </w:pPr>
                  <w:r>
                    <w:rPr>
                      <w:rFonts w:eastAsia="宋体"/>
                      <w:sz w:val="21"/>
                      <w:szCs w:val="21"/>
                    </w:rPr>
                    <w:t>检测</w:t>
                  </w:r>
                  <w:r>
                    <w:rPr>
                      <w:rFonts w:hint="eastAsia" w:eastAsia="宋体"/>
                      <w:sz w:val="21"/>
                      <w:szCs w:val="21"/>
                    </w:rPr>
                    <w:t>点位</w:t>
                  </w:r>
                </w:p>
              </w:tc>
              <w:tc>
                <w:tcPr>
                  <w:tcW w:w="1125" w:type="dxa"/>
                  <w:tcBorders>
                    <w:tl2br w:val="nil"/>
                    <w:tr2bl w:val="nil"/>
                  </w:tcBorders>
                  <w:vAlign w:val="center"/>
                </w:tcPr>
                <w:p>
                  <w:pPr>
                    <w:jc w:val="center"/>
                    <w:rPr>
                      <w:rFonts w:eastAsia="宋体"/>
                      <w:sz w:val="21"/>
                      <w:szCs w:val="21"/>
                    </w:rPr>
                  </w:pPr>
                  <w:r>
                    <w:rPr>
                      <w:rFonts w:eastAsia="宋体"/>
                      <w:sz w:val="21"/>
                      <w:szCs w:val="21"/>
                    </w:rPr>
                    <w:t>检测项目</w:t>
                  </w:r>
                </w:p>
              </w:tc>
              <w:tc>
                <w:tcPr>
                  <w:tcW w:w="1905" w:type="dxa"/>
                  <w:tcBorders>
                    <w:tl2br w:val="single" w:color="auto" w:sz="4" w:space="0"/>
                  </w:tcBorders>
                  <w:vAlign w:val="center"/>
                </w:tcPr>
                <w:p>
                  <w:pPr>
                    <w:spacing w:line="240" w:lineRule="exact"/>
                    <w:jc w:val="right"/>
                    <w:rPr>
                      <w:rFonts w:eastAsia="宋体"/>
                    </w:rPr>
                  </w:pPr>
                  <w:r>
                    <w:rPr>
                      <w:rFonts w:hint="eastAsia" w:eastAsia="宋体"/>
                      <w:sz w:val="21"/>
                      <w:szCs w:val="21"/>
                    </w:rPr>
                    <w:t>检测</w:t>
                  </w:r>
                  <w:r>
                    <w:rPr>
                      <w:rFonts w:hint="eastAsia" w:ascii="宋体" w:hAnsi="宋体" w:eastAsia="宋体" w:cs="宋体"/>
                      <w:sz w:val="21"/>
                      <w:szCs w:val="21"/>
                    </w:rPr>
                    <w:t>频次</w:t>
                  </w:r>
                </w:p>
                <w:p>
                  <w:pPr>
                    <w:spacing w:line="240" w:lineRule="exact"/>
                    <w:jc w:val="left"/>
                  </w:pPr>
                  <w:r>
                    <w:rPr>
                      <w:rFonts w:hint="eastAsia" w:ascii="宋体" w:hAnsi="宋体" w:eastAsia="宋体" w:cs="宋体"/>
                      <w:sz w:val="21"/>
                      <w:szCs w:val="21"/>
                    </w:rPr>
                    <w:t>检测</w:t>
                  </w:r>
                  <w:r>
                    <w:rPr>
                      <w:rFonts w:hint="eastAsia" w:eastAsia="宋体"/>
                      <w:sz w:val="21"/>
                      <w:szCs w:val="21"/>
                    </w:rPr>
                    <w:t>日期</w:t>
                  </w:r>
                </w:p>
              </w:tc>
              <w:tc>
                <w:tcPr>
                  <w:tcW w:w="933" w:type="dxa"/>
                  <w:tcBorders>
                    <w:tl2br w:val="nil"/>
                    <w:tr2bl w:val="nil"/>
                  </w:tcBorders>
                  <w:vAlign w:val="center"/>
                </w:tcPr>
                <w:p>
                  <w:pPr>
                    <w:jc w:val="center"/>
                    <w:rPr>
                      <w:rFonts w:eastAsia="宋体"/>
                      <w:sz w:val="21"/>
                      <w:szCs w:val="21"/>
                    </w:rPr>
                  </w:pPr>
                  <w:r>
                    <w:rPr>
                      <w:rFonts w:hint="eastAsia" w:eastAsia="宋体"/>
                      <w:sz w:val="21"/>
                      <w:szCs w:val="21"/>
                    </w:rPr>
                    <w:t>02:00</w:t>
                  </w:r>
                </w:p>
              </w:tc>
              <w:tc>
                <w:tcPr>
                  <w:tcW w:w="992" w:type="dxa"/>
                  <w:tcBorders>
                    <w:tl2br w:val="nil"/>
                    <w:tr2bl w:val="nil"/>
                  </w:tcBorders>
                  <w:vAlign w:val="center"/>
                </w:tcPr>
                <w:p>
                  <w:pPr>
                    <w:jc w:val="center"/>
                    <w:rPr>
                      <w:rFonts w:eastAsia="宋体"/>
                      <w:sz w:val="21"/>
                      <w:szCs w:val="21"/>
                    </w:rPr>
                  </w:pPr>
                  <w:r>
                    <w:rPr>
                      <w:rFonts w:hint="eastAsia" w:eastAsia="宋体"/>
                      <w:sz w:val="21"/>
                      <w:szCs w:val="21"/>
                    </w:rPr>
                    <w:t>08:00</w:t>
                  </w:r>
                </w:p>
              </w:tc>
              <w:tc>
                <w:tcPr>
                  <w:tcW w:w="993" w:type="dxa"/>
                  <w:tcBorders>
                    <w:tl2br w:val="nil"/>
                    <w:tr2bl w:val="nil"/>
                  </w:tcBorders>
                  <w:vAlign w:val="center"/>
                </w:tcPr>
                <w:p>
                  <w:pPr>
                    <w:jc w:val="center"/>
                    <w:rPr>
                      <w:rFonts w:eastAsia="宋体"/>
                      <w:sz w:val="21"/>
                      <w:szCs w:val="21"/>
                    </w:rPr>
                  </w:pPr>
                  <w:r>
                    <w:rPr>
                      <w:rFonts w:hint="eastAsia" w:eastAsia="宋体"/>
                      <w:sz w:val="21"/>
                      <w:szCs w:val="21"/>
                    </w:rPr>
                    <w:t>14:00</w:t>
                  </w:r>
                </w:p>
              </w:tc>
              <w:tc>
                <w:tcPr>
                  <w:tcW w:w="850" w:type="dxa"/>
                  <w:tcBorders>
                    <w:tl2br w:val="nil"/>
                    <w:tr2bl w:val="nil"/>
                  </w:tcBorders>
                  <w:vAlign w:val="center"/>
                </w:tcPr>
                <w:p>
                  <w:pPr>
                    <w:jc w:val="center"/>
                    <w:rPr>
                      <w:rFonts w:eastAsia="宋体"/>
                      <w:sz w:val="21"/>
                      <w:szCs w:val="21"/>
                    </w:rPr>
                  </w:pPr>
                  <w:r>
                    <w:rPr>
                      <w:rFonts w:hint="eastAsia" w:eastAsia="宋体"/>
                      <w:sz w:val="21"/>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51" w:hRule="exact"/>
                <w:jc w:val="center"/>
              </w:trPr>
              <w:tc>
                <w:tcPr>
                  <w:tcW w:w="999" w:type="dxa"/>
                  <w:vMerge w:val="restart"/>
                  <w:tcBorders>
                    <w:tl2br w:val="nil"/>
                    <w:tr2bl w:val="nil"/>
                  </w:tcBorders>
                  <w:vAlign w:val="center"/>
                </w:tcPr>
                <w:p>
                  <w:pPr>
                    <w:spacing w:line="240" w:lineRule="exact"/>
                    <w:jc w:val="center"/>
                    <w:rPr>
                      <w:rFonts w:eastAsia="宋体"/>
                      <w:color w:val="000000"/>
                      <w:sz w:val="21"/>
                      <w:szCs w:val="21"/>
                    </w:rPr>
                  </w:pPr>
                  <w:r>
                    <w:rPr>
                      <w:rFonts w:hint="eastAsia" w:eastAsia="宋体"/>
                      <w:sz w:val="21"/>
                      <w:szCs w:val="21"/>
                    </w:rPr>
                    <w:t>1#厂房外</w:t>
                  </w:r>
                </w:p>
              </w:tc>
              <w:tc>
                <w:tcPr>
                  <w:tcW w:w="1125" w:type="dxa"/>
                  <w:vMerge w:val="restart"/>
                  <w:tcBorders>
                    <w:tl2br w:val="nil"/>
                    <w:tr2bl w:val="nil"/>
                  </w:tcBorders>
                  <w:tcMar>
                    <w:top w:w="0" w:type="dxa"/>
                    <w:left w:w="0" w:type="dxa"/>
                    <w:bottom w:w="0" w:type="dxa"/>
                    <w:right w:w="0" w:type="dxa"/>
                  </w:tcMar>
                  <w:vAlign w:val="center"/>
                </w:tcPr>
                <w:p>
                  <w:pPr>
                    <w:spacing w:line="240" w:lineRule="exact"/>
                    <w:jc w:val="center"/>
                    <w:rPr>
                      <w:rFonts w:eastAsia="宋体"/>
                      <w:sz w:val="21"/>
                      <w:szCs w:val="21"/>
                    </w:rPr>
                  </w:pPr>
                  <w:r>
                    <w:rPr>
                      <w:rFonts w:hint="eastAsia" w:eastAsia="宋体"/>
                      <w:sz w:val="21"/>
                      <w:szCs w:val="21"/>
                    </w:rPr>
                    <w:t>非甲烷总烃(以碳计)</w:t>
                  </w:r>
                </w:p>
              </w:tc>
              <w:tc>
                <w:tcPr>
                  <w:tcW w:w="1905" w:type="dxa"/>
                  <w:tcBorders>
                    <w:tl2br w:val="nil"/>
                    <w:tr2bl w:val="nil"/>
                  </w:tcBorders>
                  <w:vAlign w:val="center"/>
                </w:tcPr>
                <w:p>
                  <w:pPr>
                    <w:jc w:val="center"/>
                    <w:rPr>
                      <w:rFonts w:eastAsia="宋体"/>
                      <w:sz w:val="21"/>
                      <w:szCs w:val="21"/>
                    </w:rPr>
                  </w:pPr>
                  <w:r>
                    <w:rPr>
                      <w:rFonts w:hint="eastAsia" w:eastAsia="宋体"/>
                      <w:sz w:val="21"/>
                      <w:szCs w:val="21"/>
                    </w:rPr>
                    <w:t>2020.06.14</w:t>
                  </w:r>
                </w:p>
              </w:tc>
              <w:tc>
                <w:tcPr>
                  <w:tcW w:w="93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0.43</w:t>
                  </w:r>
                </w:p>
              </w:tc>
              <w:tc>
                <w:tcPr>
                  <w:tcW w:w="992"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99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0.48</w:t>
                  </w:r>
                </w:p>
              </w:tc>
              <w:tc>
                <w:tcPr>
                  <w:tcW w:w="850"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51" w:hRule="exact"/>
                <w:jc w:val="center"/>
              </w:trPr>
              <w:tc>
                <w:tcPr>
                  <w:tcW w:w="999" w:type="dxa"/>
                  <w:vMerge w:val="continue"/>
                  <w:tcBorders>
                    <w:tl2br w:val="nil"/>
                    <w:tr2bl w:val="nil"/>
                  </w:tcBorders>
                  <w:vAlign w:val="center"/>
                </w:tcPr>
                <w:p>
                  <w:pPr>
                    <w:jc w:val="center"/>
                    <w:rPr>
                      <w:rFonts w:eastAsia="宋体"/>
                      <w:sz w:val="21"/>
                      <w:szCs w:val="21"/>
                    </w:rPr>
                  </w:pPr>
                </w:p>
              </w:tc>
              <w:tc>
                <w:tcPr>
                  <w:tcW w:w="1125" w:type="dxa"/>
                  <w:vMerge w:val="continue"/>
                  <w:tcBorders>
                    <w:tl2br w:val="nil"/>
                    <w:tr2bl w:val="nil"/>
                  </w:tcBorders>
                  <w:tcMar>
                    <w:top w:w="0" w:type="dxa"/>
                    <w:left w:w="0" w:type="dxa"/>
                    <w:bottom w:w="0" w:type="dxa"/>
                    <w:right w:w="0" w:type="dxa"/>
                  </w:tcMar>
                  <w:vAlign w:val="center"/>
                </w:tcPr>
                <w:p>
                  <w:pPr>
                    <w:spacing w:line="240" w:lineRule="exact"/>
                    <w:jc w:val="center"/>
                    <w:rPr>
                      <w:rFonts w:eastAsia="宋体"/>
                      <w:sz w:val="21"/>
                      <w:szCs w:val="21"/>
                    </w:rPr>
                  </w:pPr>
                </w:p>
              </w:tc>
              <w:tc>
                <w:tcPr>
                  <w:tcW w:w="1905" w:type="dxa"/>
                  <w:tcBorders>
                    <w:tl2br w:val="nil"/>
                    <w:tr2bl w:val="nil"/>
                  </w:tcBorders>
                  <w:vAlign w:val="center"/>
                </w:tcPr>
                <w:p>
                  <w:pPr>
                    <w:jc w:val="center"/>
                    <w:rPr>
                      <w:rFonts w:eastAsia="宋体"/>
                      <w:sz w:val="21"/>
                      <w:szCs w:val="21"/>
                    </w:rPr>
                  </w:pPr>
                  <w:r>
                    <w:rPr>
                      <w:rFonts w:hint="eastAsia" w:eastAsia="宋体"/>
                      <w:sz w:val="21"/>
                      <w:szCs w:val="21"/>
                    </w:rPr>
                    <w:t>2020.06.15</w:t>
                  </w:r>
                </w:p>
              </w:tc>
              <w:tc>
                <w:tcPr>
                  <w:tcW w:w="93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0.40</w:t>
                  </w:r>
                </w:p>
              </w:tc>
              <w:tc>
                <w:tcPr>
                  <w:tcW w:w="992"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0.43</w:t>
                  </w:r>
                </w:p>
              </w:tc>
              <w:tc>
                <w:tcPr>
                  <w:tcW w:w="99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850"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51" w:hRule="exact"/>
                <w:jc w:val="center"/>
              </w:trPr>
              <w:tc>
                <w:tcPr>
                  <w:tcW w:w="999" w:type="dxa"/>
                  <w:vMerge w:val="continue"/>
                  <w:tcBorders>
                    <w:tl2br w:val="nil"/>
                    <w:tr2bl w:val="nil"/>
                  </w:tcBorders>
                  <w:vAlign w:val="center"/>
                </w:tcPr>
                <w:p>
                  <w:pPr>
                    <w:jc w:val="center"/>
                    <w:rPr>
                      <w:rFonts w:eastAsia="宋体"/>
                      <w:sz w:val="21"/>
                      <w:szCs w:val="21"/>
                    </w:rPr>
                  </w:pPr>
                </w:p>
              </w:tc>
              <w:tc>
                <w:tcPr>
                  <w:tcW w:w="1125" w:type="dxa"/>
                  <w:vMerge w:val="continue"/>
                  <w:tcBorders>
                    <w:tl2br w:val="nil"/>
                    <w:tr2bl w:val="nil"/>
                  </w:tcBorders>
                  <w:tcMar>
                    <w:top w:w="0" w:type="dxa"/>
                    <w:left w:w="0" w:type="dxa"/>
                    <w:bottom w:w="0" w:type="dxa"/>
                    <w:right w:w="0" w:type="dxa"/>
                  </w:tcMar>
                  <w:vAlign w:val="center"/>
                </w:tcPr>
                <w:p>
                  <w:pPr>
                    <w:spacing w:line="240" w:lineRule="exact"/>
                    <w:jc w:val="center"/>
                    <w:rPr>
                      <w:rFonts w:eastAsia="宋体"/>
                      <w:sz w:val="21"/>
                      <w:szCs w:val="21"/>
                    </w:rPr>
                  </w:pPr>
                </w:p>
              </w:tc>
              <w:tc>
                <w:tcPr>
                  <w:tcW w:w="1905" w:type="dxa"/>
                  <w:tcBorders>
                    <w:tl2br w:val="nil"/>
                    <w:tr2bl w:val="nil"/>
                  </w:tcBorders>
                  <w:vAlign w:val="center"/>
                </w:tcPr>
                <w:p>
                  <w:pPr>
                    <w:jc w:val="center"/>
                    <w:rPr>
                      <w:rFonts w:eastAsia="宋体"/>
                      <w:sz w:val="21"/>
                      <w:szCs w:val="21"/>
                    </w:rPr>
                  </w:pPr>
                  <w:r>
                    <w:rPr>
                      <w:rFonts w:hint="eastAsia" w:eastAsia="宋体"/>
                      <w:sz w:val="21"/>
                      <w:szCs w:val="21"/>
                    </w:rPr>
                    <w:t>2020.06.16</w:t>
                  </w:r>
                </w:p>
              </w:tc>
              <w:tc>
                <w:tcPr>
                  <w:tcW w:w="93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0.42</w:t>
                  </w:r>
                </w:p>
              </w:tc>
              <w:tc>
                <w:tcPr>
                  <w:tcW w:w="992"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0.48</w:t>
                  </w:r>
                </w:p>
              </w:tc>
              <w:tc>
                <w:tcPr>
                  <w:tcW w:w="99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0.49</w:t>
                  </w:r>
                </w:p>
              </w:tc>
              <w:tc>
                <w:tcPr>
                  <w:tcW w:w="850"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51" w:hRule="exact"/>
                <w:jc w:val="center"/>
              </w:trPr>
              <w:tc>
                <w:tcPr>
                  <w:tcW w:w="999" w:type="dxa"/>
                  <w:vMerge w:val="continue"/>
                  <w:tcBorders>
                    <w:tl2br w:val="nil"/>
                    <w:tr2bl w:val="nil"/>
                  </w:tcBorders>
                  <w:vAlign w:val="center"/>
                </w:tcPr>
                <w:p>
                  <w:pPr>
                    <w:jc w:val="center"/>
                    <w:rPr>
                      <w:rFonts w:eastAsia="宋体"/>
                      <w:sz w:val="21"/>
                      <w:szCs w:val="21"/>
                    </w:rPr>
                  </w:pPr>
                </w:p>
              </w:tc>
              <w:tc>
                <w:tcPr>
                  <w:tcW w:w="1125" w:type="dxa"/>
                  <w:vMerge w:val="continue"/>
                  <w:tcBorders>
                    <w:tl2br w:val="nil"/>
                    <w:tr2bl w:val="nil"/>
                  </w:tcBorders>
                  <w:tcMar>
                    <w:top w:w="0" w:type="dxa"/>
                    <w:left w:w="0" w:type="dxa"/>
                    <w:bottom w:w="0" w:type="dxa"/>
                    <w:right w:w="0" w:type="dxa"/>
                  </w:tcMar>
                  <w:vAlign w:val="center"/>
                </w:tcPr>
                <w:p>
                  <w:pPr>
                    <w:spacing w:line="240" w:lineRule="exact"/>
                    <w:jc w:val="center"/>
                    <w:rPr>
                      <w:rFonts w:eastAsia="宋体"/>
                      <w:sz w:val="21"/>
                      <w:szCs w:val="21"/>
                    </w:rPr>
                  </w:pPr>
                </w:p>
              </w:tc>
              <w:tc>
                <w:tcPr>
                  <w:tcW w:w="1905" w:type="dxa"/>
                  <w:tcBorders>
                    <w:tl2br w:val="nil"/>
                    <w:tr2bl w:val="nil"/>
                  </w:tcBorders>
                  <w:vAlign w:val="center"/>
                </w:tcPr>
                <w:p>
                  <w:pPr>
                    <w:jc w:val="center"/>
                    <w:rPr>
                      <w:rFonts w:eastAsia="宋体"/>
                      <w:sz w:val="21"/>
                      <w:szCs w:val="21"/>
                    </w:rPr>
                  </w:pPr>
                  <w:r>
                    <w:rPr>
                      <w:rFonts w:hint="eastAsia" w:eastAsia="宋体"/>
                      <w:sz w:val="21"/>
                      <w:szCs w:val="21"/>
                    </w:rPr>
                    <w:t>2020.06.17</w:t>
                  </w:r>
                </w:p>
              </w:tc>
              <w:tc>
                <w:tcPr>
                  <w:tcW w:w="93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0.44</w:t>
                  </w:r>
                </w:p>
              </w:tc>
              <w:tc>
                <w:tcPr>
                  <w:tcW w:w="992"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99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0.43</w:t>
                  </w:r>
                </w:p>
              </w:tc>
              <w:tc>
                <w:tcPr>
                  <w:tcW w:w="850"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51" w:hRule="exact"/>
                <w:jc w:val="center"/>
              </w:trPr>
              <w:tc>
                <w:tcPr>
                  <w:tcW w:w="999" w:type="dxa"/>
                  <w:vMerge w:val="continue"/>
                  <w:tcBorders>
                    <w:tl2br w:val="nil"/>
                    <w:tr2bl w:val="nil"/>
                  </w:tcBorders>
                  <w:vAlign w:val="center"/>
                </w:tcPr>
                <w:p>
                  <w:pPr>
                    <w:jc w:val="center"/>
                    <w:rPr>
                      <w:rFonts w:eastAsia="宋体"/>
                      <w:sz w:val="21"/>
                      <w:szCs w:val="21"/>
                    </w:rPr>
                  </w:pPr>
                </w:p>
              </w:tc>
              <w:tc>
                <w:tcPr>
                  <w:tcW w:w="1125" w:type="dxa"/>
                  <w:vMerge w:val="continue"/>
                  <w:tcBorders>
                    <w:tl2br w:val="nil"/>
                    <w:tr2bl w:val="nil"/>
                  </w:tcBorders>
                  <w:tcMar>
                    <w:top w:w="0" w:type="dxa"/>
                    <w:left w:w="0" w:type="dxa"/>
                    <w:bottom w:w="0" w:type="dxa"/>
                    <w:right w:w="0" w:type="dxa"/>
                  </w:tcMar>
                  <w:vAlign w:val="center"/>
                </w:tcPr>
                <w:p>
                  <w:pPr>
                    <w:spacing w:line="240" w:lineRule="exact"/>
                    <w:jc w:val="center"/>
                    <w:rPr>
                      <w:rFonts w:eastAsia="宋体"/>
                      <w:sz w:val="21"/>
                      <w:szCs w:val="21"/>
                    </w:rPr>
                  </w:pPr>
                </w:p>
              </w:tc>
              <w:tc>
                <w:tcPr>
                  <w:tcW w:w="1905" w:type="dxa"/>
                  <w:tcBorders>
                    <w:tl2br w:val="nil"/>
                    <w:tr2bl w:val="nil"/>
                  </w:tcBorders>
                  <w:vAlign w:val="center"/>
                </w:tcPr>
                <w:p>
                  <w:pPr>
                    <w:jc w:val="center"/>
                    <w:rPr>
                      <w:rFonts w:eastAsia="宋体"/>
                      <w:sz w:val="21"/>
                      <w:szCs w:val="21"/>
                    </w:rPr>
                  </w:pPr>
                  <w:r>
                    <w:rPr>
                      <w:rFonts w:hint="eastAsia" w:eastAsia="宋体"/>
                      <w:sz w:val="21"/>
                      <w:szCs w:val="21"/>
                    </w:rPr>
                    <w:t>2020.06.18</w:t>
                  </w:r>
                </w:p>
              </w:tc>
              <w:tc>
                <w:tcPr>
                  <w:tcW w:w="93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0.47</w:t>
                  </w:r>
                </w:p>
              </w:tc>
              <w:tc>
                <w:tcPr>
                  <w:tcW w:w="992"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99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850"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51" w:hRule="exact"/>
                <w:jc w:val="center"/>
              </w:trPr>
              <w:tc>
                <w:tcPr>
                  <w:tcW w:w="999" w:type="dxa"/>
                  <w:vMerge w:val="continue"/>
                  <w:tcBorders>
                    <w:tl2br w:val="nil"/>
                    <w:tr2bl w:val="nil"/>
                  </w:tcBorders>
                  <w:vAlign w:val="center"/>
                </w:tcPr>
                <w:p>
                  <w:pPr>
                    <w:jc w:val="center"/>
                    <w:rPr>
                      <w:rFonts w:eastAsia="宋体"/>
                      <w:sz w:val="21"/>
                      <w:szCs w:val="21"/>
                    </w:rPr>
                  </w:pPr>
                </w:p>
              </w:tc>
              <w:tc>
                <w:tcPr>
                  <w:tcW w:w="1125" w:type="dxa"/>
                  <w:vMerge w:val="continue"/>
                  <w:tcBorders>
                    <w:tl2br w:val="nil"/>
                    <w:tr2bl w:val="nil"/>
                  </w:tcBorders>
                  <w:tcMar>
                    <w:top w:w="0" w:type="dxa"/>
                    <w:left w:w="0" w:type="dxa"/>
                    <w:bottom w:w="0" w:type="dxa"/>
                    <w:right w:w="0" w:type="dxa"/>
                  </w:tcMar>
                  <w:vAlign w:val="center"/>
                </w:tcPr>
                <w:p>
                  <w:pPr>
                    <w:spacing w:line="240" w:lineRule="exact"/>
                    <w:jc w:val="center"/>
                    <w:rPr>
                      <w:rFonts w:eastAsia="宋体"/>
                      <w:sz w:val="21"/>
                      <w:szCs w:val="21"/>
                    </w:rPr>
                  </w:pPr>
                </w:p>
              </w:tc>
              <w:tc>
                <w:tcPr>
                  <w:tcW w:w="1905" w:type="dxa"/>
                  <w:tcBorders>
                    <w:tl2br w:val="nil"/>
                    <w:tr2bl w:val="nil"/>
                  </w:tcBorders>
                  <w:vAlign w:val="center"/>
                </w:tcPr>
                <w:p>
                  <w:pPr>
                    <w:jc w:val="center"/>
                    <w:rPr>
                      <w:rFonts w:eastAsia="宋体"/>
                      <w:sz w:val="21"/>
                      <w:szCs w:val="21"/>
                    </w:rPr>
                  </w:pPr>
                  <w:r>
                    <w:rPr>
                      <w:rFonts w:hint="eastAsia" w:eastAsia="宋体"/>
                      <w:sz w:val="21"/>
                      <w:szCs w:val="21"/>
                    </w:rPr>
                    <w:t>2020.06.19</w:t>
                  </w:r>
                </w:p>
              </w:tc>
              <w:tc>
                <w:tcPr>
                  <w:tcW w:w="93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0.44</w:t>
                  </w:r>
                </w:p>
              </w:tc>
              <w:tc>
                <w:tcPr>
                  <w:tcW w:w="992"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0.48</w:t>
                  </w:r>
                </w:p>
              </w:tc>
              <w:tc>
                <w:tcPr>
                  <w:tcW w:w="99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850"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51" w:hRule="exact"/>
                <w:jc w:val="center"/>
              </w:trPr>
              <w:tc>
                <w:tcPr>
                  <w:tcW w:w="999" w:type="dxa"/>
                  <w:vMerge w:val="continue"/>
                  <w:tcBorders>
                    <w:tl2br w:val="nil"/>
                    <w:tr2bl w:val="nil"/>
                  </w:tcBorders>
                  <w:vAlign w:val="center"/>
                </w:tcPr>
                <w:p>
                  <w:pPr>
                    <w:jc w:val="center"/>
                    <w:rPr>
                      <w:rFonts w:eastAsia="宋体"/>
                      <w:sz w:val="21"/>
                      <w:szCs w:val="21"/>
                    </w:rPr>
                  </w:pPr>
                </w:p>
              </w:tc>
              <w:tc>
                <w:tcPr>
                  <w:tcW w:w="1125" w:type="dxa"/>
                  <w:vMerge w:val="continue"/>
                  <w:tcBorders>
                    <w:tl2br w:val="nil"/>
                    <w:tr2bl w:val="nil"/>
                  </w:tcBorders>
                  <w:tcMar>
                    <w:top w:w="0" w:type="dxa"/>
                    <w:left w:w="0" w:type="dxa"/>
                    <w:bottom w:w="0" w:type="dxa"/>
                    <w:right w:w="0" w:type="dxa"/>
                  </w:tcMar>
                  <w:vAlign w:val="center"/>
                </w:tcPr>
                <w:p>
                  <w:pPr>
                    <w:spacing w:line="240" w:lineRule="exact"/>
                    <w:jc w:val="center"/>
                    <w:rPr>
                      <w:rFonts w:eastAsia="宋体"/>
                      <w:sz w:val="21"/>
                      <w:szCs w:val="21"/>
                    </w:rPr>
                  </w:pPr>
                </w:p>
              </w:tc>
              <w:tc>
                <w:tcPr>
                  <w:tcW w:w="1905" w:type="dxa"/>
                  <w:tcBorders>
                    <w:tl2br w:val="nil"/>
                    <w:tr2bl w:val="nil"/>
                  </w:tcBorders>
                  <w:vAlign w:val="center"/>
                </w:tcPr>
                <w:p>
                  <w:pPr>
                    <w:jc w:val="center"/>
                    <w:rPr>
                      <w:rFonts w:eastAsia="宋体"/>
                      <w:sz w:val="21"/>
                      <w:szCs w:val="21"/>
                    </w:rPr>
                  </w:pPr>
                  <w:r>
                    <w:rPr>
                      <w:rFonts w:hint="eastAsia" w:eastAsia="宋体"/>
                      <w:sz w:val="21"/>
                      <w:szCs w:val="21"/>
                    </w:rPr>
                    <w:t>2020.06.20</w:t>
                  </w:r>
                </w:p>
              </w:tc>
              <w:tc>
                <w:tcPr>
                  <w:tcW w:w="93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0.42</w:t>
                  </w:r>
                </w:p>
              </w:tc>
              <w:tc>
                <w:tcPr>
                  <w:tcW w:w="992"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0.45</w:t>
                  </w:r>
                </w:p>
              </w:tc>
              <w:tc>
                <w:tcPr>
                  <w:tcW w:w="993"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0.50</w:t>
                  </w:r>
                </w:p>
              </w:tc>
              <w:tc>
                <w:tcPr>
                  <w:tcW w:w="850" w:type="dxa"/>
                  <w:tcBorders>
                    <w:tl2br w:val="nil"/>
                    <w:tr2bl w:val="nil"/>
                  </w:tcBorders>
                  <w:vAlign w:val="center"/>
                </w:tcPr>
                <w:p>
                  <w:pPr>
                    <w:widowControl/>
                    <w:jc w:val="center"/>
                    <w:textAlignment w:val="center"/>
                    <w:rPr>
                      <w:rFonts w:eastAsia="宋体"/>
                      <w:color w:val="000000"/>
                      <w:sz w:val="21"/>
                      <w:szCs w:val="21"/>
                    </w:rPr>
                  </w:pPr>
                  <w:r>
                    <w:rPr>
                      <w:rFonts w:hint="eastAsia" w:eastAsia="宋体"/>
                      <w:sz w:val="21"/>
                      <w:szCs w:val="21"/>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69" w:hRule="exact"/>
                <w:jc w:val="center"/>
              </w:trPr>
              <w:tc>
                <w:tcPr>
                  <w:tcW w:w="999" w:type="dxa"/>
                  <w:vMerge w:val="restart"/>
                  <w:vAlign w:val="center"/>
                </w:tcPr>
                <w:p>
                  <w:pPr>
                    <w:spacing w:line="240" w:lineRule="exact"/>
                    <w:jc w:val="center"/>
                    <w:rPr>
                      <w:rFonts w:eastAsia="宋体"/>
                      <w:color w:val="000000"/>
                      <w:sz w:val="21"/>
                      <w:szCs w:val="21"/>
                    </w:rPr>
                  </w:pPr>
                  <w:r>
                    <w:rPr>
                      <w:rFonts w:hint="eastAsia" w:eastAsia="宋体"/>
                      <w:sz w:val="21"/>
                      <w:szCs w:val="21"/>
                    </w:rPr>
                    <w:t>2#北壕村北侧</w:t>
                  </w:r>
                </w:p>
              </w:tc>
              <w:tc>
                <w:tcPr>
                  <w:tcW w:w="1125" w:type="dxa"/>
                  <w:vMerge w:val="restart"/>
                  <w:vAlign w:val="center"/>
                </w:tcPr>
                <w:p>
                  <w:pPr>
                    <w:spacing w:line="240" w:lineRule="exact"/>
                    <w:jc w:val="center"/>
                    <w:rPr>
                      <w:rFonts w:eastAsia="宋体"/>
                      <w:sz w:val="21"/>
                      <w:szCs w:val="21"/>
                    </w:rPr>
                  </w:pPr>
                  <w:r>
                    <w:rPr>
                      <w:rFonts w:hint="eastAsia" w:eastAsia="宋体"/>
                      <w:sz w:val="21"/>
                      <w:szCs w:val="21"/>
                    </w:rPr>
                    <w:t>非甲烷总烃(以碳计)</w:t>
                  </w:r>
                </w:p>
              </w:tc>
              <w:tc>
                <w:tcPr>
                  <w:tcW w:w="1905" w:type="dxa"/>
                  <w:vAlign w:val="center"/>
                </w:tcPr>
                <w:p>
                  <w:pPr>
                    <w:jc w:val="center"/>
                    <w:rPr>
                      <w:rFonts w:eastAsia="宋体"/>
                      <w:sz w:val="21"/>
                      <w:szCs w:val="21"/>
                    </w:rPr>
                  </w:pPr>
                  <w:r>
                    <w:rPr>
                      <w:rFonts w:hint="eastAsia" w:eastAsia="宋体"/>
                      <w:sz w:val="21"/>
                      <w:szCs w:val="21"/>
                    </w:rPr>
                    <w:t>2020.06.14</w:t>
                  </w:r>
                </w:p>
              </w:tc>
              <w:tc>
                <w:tcPr>
                  <w:tcW w:w="933" w:type="dxa"/>
                  <w:vAlign w:val="center"/>
                </w:tcPr>
                <w:p>
                  <w:pPr>
                    <w:widowControl/>
                    <w:jc w:val="center"/>
                    <w:textAlignment w:val="center"/>
                    <w:rPr>
                      <w:rFonts w:eastAsia="宋体"/>
                      <w:color w:val="000000"/>
                      <w:sz w:val="21"/>
                      <w:szCs w:val="21"/>
                    </w:rPr>
                  </w:pPr>
                  <w:r>
                    <w:rPr>
                      <w:rFonts w:hint="eastAsia" w:eastAsia="宋体"/>
                      <w:sz w:val="21"/>
                      <w:szCs w:val="21"/>
                    </w:rPr>
                    <w:t>0.47</w:t>
                  </w:r>
                </w:p>
              </w:tc>
              <w:tc>
                <w:tcPr>
                  <w:tcW w:w="992" w:type="dxa"/>
                  <w:vAlign w:val="center"/>
                </w:tcPr>
                <w:p>
                  <w:pPr>
                    <w:widowControl/>
                    <w:jc w:val="center"/>
                    <w:textAlignment w:val="center"/>
                    <w:rPr>
                      <w:rFonts w:eastAsia="宋体"/>
                      <w:color w:val="000000"/>
                      <w:sz w:val="21"/>
                      <w:szCs w:val="21"/>
                    </w:rPr>
                  </w:pPr>
                  <w:r>
                    <w:rPr>
                      <w:rFonts w:hint="eastAsia" w:eastAsia="宋体"/>
                      <w:sz w:val="21"/>
                      <w:szCs w:val="21"/>
                    </w:rPr>
                    <w:t>0.43</w:t>
                  </w:r>
                </w:p>
              </w:tc>
              <w:tc>
                <w:tcPr>
                  <w:tcW w:w="993" w:type="dxa"/>
                  <w:vAlign w:val="center"/>
                </w:tcPr>
                <w:p>
                  <w:pPr>
                    <w:widowControl/>
                    <w:jc w:val="center"/>
                    <w:textAlignment w:val="center"/>
                    <w:rPr>
                      <w:rFonts w:eastAsia="宋体"/>
                      <w:color w:val="000000"/>
                      <w:sz w:val="21"/>
                      <w:szCs w:val="21"/>
                    </w:rPr>
                  </w:pPr>
                  <w:r>
                    <w:rPr>
                      <w:rFonts w:hint="eastAsia" w:eastAsia="宋体"/>
                      <w:sz w:val="21"/>
                      <w:szCs w:val="21"/>
                    </w:rPr>
                    <w:t>0.44</w:t>
                  </w:r>
                </w:p>
              </w:tc>
              <w:tc>
                <w:tcPr>
                  <w:tcW w:w="850" w:type="dxa"/>
                  <w:vAlign w:val="center"/>
                </w:tcPr>
                <w:p>
                  <w:pPr>
                    <w:widowControl/>
                    <w:jc w:val="center"/>
                    <w:textAlignment w:val="center"/>
                    <w:rPr>
                      <w:rFonts w:eastAsia="宋体"/>
                      <w:color w:val="000000"/>
                      <w:sz w:val="21"/>
                      <w:szCs w:val="21"/>
                    </w:rPr>
                  </w:pPr>
                  <w:r>
                    <w:rPr>
                      <w:rFonts w:hint="eastAsia" w:eastAsia="宋体"/>
                      <w:sz w:val="21"/>
                      <w:szCs w:val="21"/>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69" w:hRule="exact"/>
                <w:jc w:val="center"/>
              </w:trPr>
              <w:tc>
                <w:tcPr>
                  <w:tcW w:w="999" w:type="dxa"/>
                  <w:vMerge w:val="continue"/>
                </w:tcPr>
                <w:p>
                  <w:pPr>
                    <w:jc w:val="center"/>
                    <w:rPr>
                      <w:rFonts w:eastAsia="宋体"/>
                      <w:sz w:val="21"/>
                      <w:szCs w:val="21"/>
                    </w:rPr>
                  </w:pPr>
                </w:p>
              </w:tc>
              <w:tc>
                <w:tcPr>
                  <w:tcW w:w="1125" w:type="dxa"/>
                  <w:vMerge w:val="continue"/>
                </w:tcPr>
                <w:p>
                  <w:pPr>
                    <w:jc w:val="center"/>
                    <w:rPr>
                      <w:rFonts w:ascii="宋体" w:hAnsi="宋体" w:eastAsia="宋体" w:cs="宋体"/>
                      <w:sz w:val="21"/>
                      <w:szCs w:val="21"/>
                    </w:rPr>
                  </w:pPr>
                </w:p>
              </w:tc>
              <w:tc>
                <w:tcPr>
                  <w:tcW w:w="1905" w:type="dxa"/>
                  <w:vAlign w:val="center"/>
                </w:tcPr>
                <w:p>
                  <w:pPr>
                    <w:jc w:val="center"/>
                    <w:rPr>
                      <w:rFonts w:eastAsia="宋体"/>
                      <w:sz w:val="21"/>
                      <w:szCs w:val="21"/>
                    </w:rPr>
                  </w:pPr>
                  <w:r>
                    <w:rPr>
                      <w:rFonts w:hint="eastAsia" w:eastAsia="宋体"/>
                      <w:sz w:val="21"/>
                      <w:szCs w:val="21"/>
                    </w:rPr>
                    <w:t>2020.06.15</w:t>
                  </w:r>
                </w:p>
              </w:tc>
              <w:tc>
                <w:tcPr>
                  <w:tcW w:w="933" w:type="dxa"/>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992" w:type="dxa"/>
                  <w:vAlign w:val="center"/>
                </w:tcPr>
                <w:p>
                  <w:pPr>
                    <w:widowControl/>
                    <w:jc w:val="center"/>
                    <w:textAlignment w:val="center"/>
                    <w:rPr>
                      <w:rFonts w:eastAsia="宋体"/>
                      <w:color w:val="000000"/>
                      <w:sz w:val="21"/>
                      <w:szCs w:val="21"/>
                    </w:rPr>
                  </w:pPr>
                  <w:r>
                    <w:rPr>
                      <w:rFonts w:hint="eastAsia" w:eastAsia="宋体"/>
                      <w:sz w:val="21"/>
                      <w:szCs w:val="21"/>
                    </w:rPr>
                    <w:t>0.49</w:t>
                  </w:r>
                </w:p>
              </w:tc>
              <w:tc>
                <w:tcPr>
                  <w:tcW w:w="993" w:type="dxa"/>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850" w:type="dxa"/>
                  <w:vAlign w:val="center"/>
                </w:tcPr>
                <w:p>
                  <w:pPr>
                    <w:widowControl/>
                    <w:jc w:val="center"/>
                    <w:textAlignment w:val="center"/>
                    <w:rPr>
                      <w:rFonts w:eastAsia="宋体"/>
                      <w:color w:val="000000"/>
                      <w:sz w:val="21"/>
                      <w:szCs w:val="21"/>
                    </w:rPr>
                  </w:pPr>
                  <w:r>
                    <w:rPr>
                      <w:rFonts w:hint="eastAsia" w:eastAsia="宋体"/>
                      <w:sz w:val="21"/>
                      <w:szCs w:val="21"/>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69" w:hRule="exact"/>
                <w:jc w:val="center"/>
              </w:trPr>
              <w:tc>
                <w:tcPr>
                  <w:tcW w:w="999" w:type="dxa"/>
                  <w:vMerge w:val="continue"/>
                </w:tcPr>
                <w:p>
                  <w:pPr>
                    <w:jc w:val="center"/>
                    <w:rPr>
                      <w:rFonts w:eastAsia="宋体"/>
                      <w:sz w:val="21"/>
                      <w:szCs w:val="21"/>
                    </w:rPr>
                  </w:pPr>
                </w:p>
              </w:tc>
              <w:tc>
                <w:tcPr>
                  <w:tcW w:w="1125" w:type="dxa"/>
                  <w:vMerge w:val="continue"/>
                </w:tcPr>
                <w:p>
                  <w:pPr>
                    <w:jc w:val="center"/>
                    <w:rPr>
                      <w:rFonts w:ascii="宋体" w:hAnsi="宋体" w:eastAsia="宋体" w:cs="宋体"/>
                      <w:sz w:val="21"/>
                      <w:szCs w:val="21"/>
                    </w:rPr>
                  </w:pPr>
                </w:p>
              </w:tc>
              <w:tc>
                <w:tcPr>
                  <w:tcW w:w="1905" w:type="dxa"/>
                  <w:vAlign w:val="center"/>
                </w:tcPr>
                <w:p>
                  <w:pPr>
                    <w:jc w:val="center"/>
                    <w:rPr>
                      <w:rFonts w:eastAsia="宋体"/>
                      <w:sz w:val="21"/>
                      <w:szCs w:val="21"/>
                    </w:rPr>
                  </w:pPr>
                  <w:r>
                    <w:rPr>
                      <w:rFonts w:hint="eastAsia" w:eastAsia="宋体"/>
                      <w:sz w:val="21"/>
                      <w:szCs w:val="21"/>
                    </w:rPr>
                    <w:t>2020.06.16</w:t>
                  </w:r>
                </w:p>
              </w:tc>
              <w:tc>
                <w:tcPr>
                  <w:tcW w:w="933" w:type="dxa"/>
                  <w:vAlign w:val="center"/>
                </w:tcPr>
                <w:p>
                  <w:pPr>
                    <w:widowControl/>
                    <w:jc w:val="center"/>
                    <w:textAlignment w:val="center"/>
                    <w:rPr>
                      <w:rFonts w:eastAsia="宋体"/>
                      <w:color w:val="000000"/>
                      <w:sz w:val="21"/>
                      <w:szCs w:val="21"/>
                    </w:rPr>
                  </w:pPr>
                  <w:r>
                    <w:rPr>
                      <w:rFonts w:hint="eastAsia" w:eastAsia="宋体"/>
                      <w:sz w:val="21"/>
                      <w:szCs w:val="21"/>
                    </w:rPr>
                    <w:t>0.49</w:t>
                  </w:r>
                </w:p>
              </w:tc>
              <w:tc>
                <w:tcPr>
                  <w:tcW w:w="992" w:type="dxa"/>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993" w:type="dxa"/>
                  <w:vAlign w:val="center"/>
                </w:tcPr>
                <w:p>
                  <w:pPr>
                    <w:widowControl/>
                    <w:jc w:val="center"/>
                    <w:textAlignment w:val="center"/>
                    <w:rPr>
                      <w:rFonts w:eastAsia="宋体"/>
                      <w:color w:val="000000"/>
                      <w:sz w:val="21"/>
                      <w:szCs w:val="21"/>
                    </w:rPr>
                  </w:pPr>
                  <w:r>
                    <w:rPr>
                      <w:rFonts w:hint="eastAsia" w:eastAsia="宋体"/>
                      <w:sz w:val="21"/>
                      <w:szCs w:val="21"/>
                    </w:rPr>
                    <w:t>0.40</w:t>
                  </w:r>
                </w:p>
              </w:tc>
              <w:tc>
                <w:tcPr>
                  <w:tcW w:w="850" w:type="dxa"/>
                  <w:vAlign w:val="center"/>
                </w:tcPr>
                <w:p>
                  <w:pPr>
                    <w:widowControl/>
                    <w:jc w:val="center"/>
                    <w:textAlignment w:val="center"/>
                    <w:rPr>
                      <w:rFonts w:eastAsia="宋体"/>
                      <w:color w:val="000000"/>
                      <w:sz w:val="21"/>
                      <w:szCs w:val="21"/>
                    </w:rPr>
                  </w:pPr>
                  <w:r>
                    <w:rPr>
                      <w:rFonts w:hint="eastAsia" w:eastAsia="宋体"/>
                      <w:sz w:val="21"/>
                      <w:szCs w:val="21"/>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69" w:hRule="exact"/>
                <w:jc w:val="center"/>
              </w:trPr>
              <w:tc>
                <w:tcPr>
                  <w:tcW w:w="999" w:type="dxa"/>
                  <w:vMerge w:val="continue"/>
                </w:tcPr>
                <w:p>
                  <w:pPr>
                    <w:jc w:val="center"/>
                    <w:rPr>
                      <w:rFonts w:eastAsia="宋体"/>
                      <w:sz w:val="21"/>
                      <w:szCs w:val="21"/>
                    </w:rPr>
                  </w:pPr>
                </w:p>
              </w:tc>
              <w:tc>
                <w:tcPr>
                  <w:tcW w:w="1125" w:type="dxa"/>
                  <w:vMerge w:val="continue"/>
                </w:tcPr>
                <w:p>
                  <w:pPr>
                    <w:jc w:val="center"/>
                    <w:rPr>
                      <w:rFonts w:ascii="宋体" w:hAnsi="宋体" w:eastAsia="宋体" w:cs="宋体"/>
                      <w:sz w:val="21"/>
                      <w:szCs w:val="21"/>
                    </w:rPr>
                  </w:pPr>
                </w:p>
              </w:tc>
              <w:tc>
                <w:tcPr>
                  <w:tcW w:w="1905" w:type="dxa"/>
                  <w:vAlign w:val="center"/>
                </w:tcPr>
                <w:p>
                  <w:pPr>
                    <w:jc w:val="center"/>
                    <w:rPr>
                      <w:rFonts w:eastAsia="宋体"/>
                      <w:sz w:val="21"/>
                      <w:szCs w:val="21"/>
                    </w:rPr>
                  </w:pPr>
                  <w:r>
                    <w:rPr>
                      <w:rFonts w:hint="eastAsia" w:eastAsia="宋体"/>
                      <w:sz w:val="21"/>
                      <w:szCs w:val="21"/>
                    </w:rPr>
                    <w:t>2020.06.17</w:t>
                  </w:r>
                </w:p>
              </w:tc>
              <w:tc>
                <w:tcPr>
                  <w:tcW w:w="933" w:type="dxa"/>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992" w:type="dxa"/>
                  <w:vAlign w:val="center"/>
                </w:tcPr>
                <w:p>
                  <w:pPr>
                    <w:widowControl/>
                    <w:jc w:val="center"/>
                    <w:textAlignment w:val="center"/>
                    <w:rPr>
                      <w:rFonts w:eastAsia="宋体"/>
                      <w:color w:val="000000"/>
                      <w:sz w:val="21"/>
                      <w:szCs w:val="21"/>
                    </w:rPr>
                  </w:pPr>
                  <w:r>
                    <w:rPr>
                      <w:rFonts w:hint="eastAsia" w:eastAsia="宋体"/>
                      <w:sz w:val="21"/>
                      <w:szCs w:val="21"/>
                    </w:rPr>
                    <w:t>0.45</w:t>
                  </w:r>
                </w:p>
              </w:tc>
              <w:tc>
                <w:tcPr>
                  <w:tcW w:w="993" w:type="dxa"/>
                  <w:vAlign w:val="center"/>
                </w:tcPr>
                <w:p>
                  <w:pPr>
                    <w:widowControl/>
                    <w:jc w:val="center"/>
                    <w:textAlignment w:val="center"/>
                    <w:rPr>
                      <w:rFonts w:eastAsia="宋体"/>
                      <w:color w:val="000000"/>
                      <w:sz w:val="21"/>
                      <w:szCs w:val="21"/>
                    </w:rPr>
                  </w:pPr>
                  <w:r>
                    <w:rPr>
                      <w:rFonts w:hint="eastAsia" w:eastAsia="宋体"/>
                      <w:sz w:val="21"/>
                      <w:szCs w:val="21"/>
                    </w:rPr>
                    <w:t>0.46</w:t>
                  </w:r>
                </w:p>
              </w:tc>
              <w:tc>
                <w:tcPr>
                  <w:tcW w:w="850" w:type="dxa"/>
                  <w:vAlign w:val="center"/>
                </w:tcPr>
                <w:p>
                  <w:pPr>
                    <w:widowControl/>
                    <w:jc w:val="center"/>
                    <w:textAlignment w:val="center"/>
                    <w:rPr>
                      <w:rFonts w:eastAsia="宋体"/>
                      <w:color w:val="000000"/>
                      <w:sz w:val="21"/>
                      <w:szCs w:val="21"/>
                    </w:rPr>
                  </w:pPr>
                  <w:r>
                    <w:rPr>
                      <w:rFonts w:hint="eastAsia" w:eastAsia="宋体"/>
                      <w:sz w:val="21"/>
                      <w:szCs w:val="21"/>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69" w:hRule="exact"/>
                <w:jc w:val="center"/>
              </w:trPr>
              <w:tc>
                <w:tcPr>
                  <w:tcW w:w="999" w:type="dxa"/>
                  <w:vMerge w:val="continue"/>
                </w:tcPr>
                <w:p>
                  <w:pPr>
                    <w:jc w:val="center"/>
                    <w:rPr>
                      <w:rFonts w:eastAsia="宋体"/>
                      <w:sz w:val="21"/>
                      <w:szCs w:val="21"/>
                    </w:rPr>
                  </w:pPr>
                </w:p>
              </w:tc>
              <w:tc>
                <w:tcPr>
                  <w:tcW w:w="1125" w:type="dxa"/>
                  <w:vMerge w:val="continue"/>
                </w:tcPr>
                <w:p>
                  <w:pPr>
                    <w:jc w:val="center"/>
                    <w:rPr>
                      <w:rFonts w:ascii="宋体" w:hAnsi="宋体" w:eastAsia="宋体" w:cs="宋体"/>
                      <w:sz w:val="21"/>
                      <w:szCs w:val="21"/>
                    </w:rPr>
                  </w:pPr>
                </w:p>
              </w:tc>
              <w:tc>
                <w:tcPr>
                  <w:tcW w:w="1905" w:type="dxa"/>
                  <w:vAlign w:val="center"/>
                </w:tcPr>
                <w:p>
                  <w:pPr>
                    <w:jc w:val="center"/>
                    <w:rPr>
                      <w:rFonts w:eastAsia="宋体"/>
                      <w:sz w:val="21"/>
                      <w:szCs w:val="21"/>
                    </w:rPr>
                  </w:pPr>
                  <w:r>
                    <w:rPr>
                      <w:rFonts w:hint="eastAsia" w:eastAsia="宋体"/>
                      <w:sz w:val="21"/>
                      <w:szCs w:val="21"/>
                    </w:rPr>
                    <w:t>2020.06.18</w:t>
                  </w:r>
                </w:p>
              </w:tc>
              <w:tc>
                <w:tcPr>
                  <w:tcW w:w="933" w:type="dxa"/>
                  <w:vAlign w:val="center"/>
                </w:tcPr>
                <w:p>
                  <w:pPr>
                    <w:widowControl/>
                    <w:jc w:val="center"/>
                    <w:textAlignment w:val="center"/>
                    <w:rPr>
                      <w:rFonts w:eastAsia="宋体"/>
                      <w:color w:val="000000"/>
                      <w:sz w:val="21"/>
                      <w:szCs w:val="21"/>
                    </w:rPr>
                  </w:pPr>
                  <w:r>
                    <w:rPr>
                      <w:rFonts w:hint="eastAsia" w:eastAsia="宋体"/>
                      <w:sz w:val="21"/>
                      <w:szCs w:val="21"/>
                    </w:rPr>
                    <w:t>0.45</w:t>
                  </w:r>
                </w:p>
              </w:tc>
              <w:tc>
                <w:tcPr>
                  <w:tcW w:w="992" w:type="dxa"/>
                  <w:vAlign w:val="center"/>
                </w:tcPr>
                <w:p>
                  <w:pPr>
                    <w:widowControl/>
                    <w:jc w:val="center"/>
                    <w:textAlignment w:val="center"/>
                    <w:rPr>
                      <w:rFonts w:eastAsia="宋体"/>
                      <w:color w:val="000000"/>
                      <w:sz w:val="21"/>
                      <w:szCs w:val="21"/>
                    </w:rPr>
                  </w:pPr>
                  <w:r>
                    <w:rPr>
                      <w:rFonts w:hint="eastAsia" w:eastAsia="宋体"/>
                      <w:sz w:val="21"/>
                      <w:szCs w:val="21"/>
                    </w:rPr>
                    <w:t>0.48</w:t>
                  </w:r>
                </w:p>
              </w:tc>
              <w:tc>
                <w:tcPr>
                  <w:tcW w:w="993" w:type="dxa"/>
                  <w:vAlign w:val="center"/>
                </w:tcPr>
                <w:p>
                  <w:pPr>
                    <w:widowControl/>
                    <w:jc w:val="center"/>
                    <w:textAlignment w:val="center"/>
                    <w:rPr>
                      <w:rFonts w:eastAsia="宋体"/>
                      <w:color w:val="000000"/>
                      <w:sz w:val="21"/>
                      <w:szCs w:val="21"/>
                    </w:rPr>
                  </w:pPr>
                  <w:r>
                    <w:rPr>
                      <w:rFonts w:hint="eastAsia" w:eastAsia="宋体"/>
                      <w:sz w:val="21"/>
                      <w:szCs w:val="21"/>
                    </w:rPr>
                    <w:t>0.49</w:t>
                  </w:r>
                </w:p>
              </w:tc>
              <w:tc>
                <w:tcPr>
                  <w:tcW w:w="850" w:type="dxa"/>
                  <w:vAlign w:val="center"/>
                </w:tcPr>
                <w:p>
                  <w:pPr>
                    <w:widowControl/>
                    <w:jc w:val="center"/>
                    <w:textAlignment w:val="center"/>
                    <w:rPr>
                      <w:rFonts w:eastAsia="宋体"/>
                      <w:color w:val="000000"/>
                      <w:sz w:val="21"/>
                      <w:szCs w:val="21"/>
                    </w:rPr>
                  </w:pPr>
                  <w:r>
                    <w:rPr>
                      <w:rFonts w:hint="eastAsia" w:eastAsia="宋体"/>
                      <w:sz w:val="21"/>
                      <w:szCs w:val="21"/>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69" w:hRule="exact"/>
                <w:jc w:val="center"/>
              </w:trPr>
              <w:tc>
                <w:tcPr>
                  <w:tcW w:w="999" w:type="dxa"/>
                  <w:vMerge w:val="continue"/>
                </w:tcPr>
                <w:p>
                  <w:pPr>
                    <w:jc w:val="center"/>
                    <w:rPr>
                      <w:rFonts w:eastAsia="宋体"/>
                      <w:sz w:val="21"/>
                      <w:szCs w:val="21"/>
                    </w:rPr>
                  </w:pPr>
                </w:p>
              </w:tc>
              <w:tc>
                <w:tcPr>
                  <w:tcW w:w="1125" w:type="dxa"/>
                  <w:vMerge w:val="continue"/>
                </w:tcPr>
                <w:p>
                  <w:pPr>
                    <w:jc w:val="center"/>
                    <w:rPr>
                      <w:rFonts w:ascii="宋体" w:hAnsi="宋体" w:eastAsia="宋体" w:cs="宋体"/>
                      <w:sz w:val="21"/>
                      <w:szCs w:val="21"/>
                    </w:rPr>
                  </w:pPr>
                </w:p>
              </w:tc>
              <w:tc>
                <w:tcPr>
                  <w:tcW w:w="1905" w:type="dxa"/>
                  <w:vAlign w:val="center"/>
                </w:tcPr>
                <w:p>
                  <w:pPr>
                    <w:jc w:val="center"/>
                    <w:rPr>
                      <w:rFonts w:eastAsia="宋体"/>
                      <w:sz w:val="21"/>
                      <w:szCs w:val="21"/>
                    </w:rPr>
                  </w:pPr>
                  <w:r>
                    <w:rPr>
                      <w:rFonts w:hint="eastAsia" w:eastAsia="宋体"/>
                      <w:sz w:val="21"/>
                      <w:szCs w:val="21"/>
                    </w:rPr>
                    <w:t>2020.06.19</w:t>
                  </w:r>
                </w:p>
              </w:tc>
              <w:tc>
                <w:tcPr>
                  <w:tcW w:w="933" w:type="dxa"/>
                  <w:vAlign w:val="center"/>
                </w:tcPr>
                <w:p>
                  <w:pPr>
                    <w:widowControl/>
                    <w:jc w:val="center"/>
                    <w:textAlignment w:val="center"/>
                    <w:rPr>
                      <w:rFonts w:eastAsia="宋体"/>
                      <w:color w:val="000000"/>
                      <w:sz w:val="21"/>
                      <w:szCs w:val="21"/>
                    </w:rPr>
                  </w:pPr>
                  <w:r>
                    <w:rPr>
                      <w:rFonts w:hint="eastAsia" w:eastAsia="宋体"/>
                      <w:sz w:val="21"/>
                      <w:szCs w:val="21"/>
                    </w:rPr>
                    <w:t>0.40</w:t>
                  </w:r>
                </w:p>
              </w:tc>
              <w:tc>
                <w:tcPr>
                  <w:tcW w:w="992" w:type="dxa"/>
                  <w:vAlign w:val="center"/>
                </w:tcPr>
                <w:p>
                  <w:pPr>
                    <w:widowControl/>
                    <w:jc w:val="center"/>
                    <w:textAlignment w:val="center"/>
                    <w:rPr>
                      <w:rFonts w:eastAsia="宋体"/>
                      <w:color w:val="000000"/>
                      <w:sz w:val="21"/>
                      <w:szCs w:val="21"/>
                    </w:rPr>
                  </w:pPr>
                  <w:r>
                    <w:rPr>
                      <w:rFonts w:hint="eastAsia" w:eastAsia="宋体"/>
                      <w:sz w:val="21"/>
                      <w:szCs w:val="21"/>
                    </w:rPr>
                    <w:t>0.47</w:t>
                  </w:r>
                </w:p>
              </w:tc>
              <w:tc>
                <w:tcPr>
                  <w:tcW w:w="993" w:type="dxa"/>
                  <w:vAlign w:val="center"/>
                </w:tcPr>
                <w:p>
                  <w:pPr>
                    <w:widowControl/>
                    <w:jc w:val="center"/>
                    <w:textAlignment w:val="center"/>
                    <w:rPr>
                      <w:rFonts w:eastAsia="宋体"/>
                      <w:color w:val="000000"/>
                      <w:sz w:val="21"/>
                      <w:szCs w:val="21"/>
                    </w:rPr>
                  </w:pPr>
                  <w:r>
                    <w:rPr>
                      <w:rFonts w:hint="eastAsia" w:eastAsia="宋体"/>
                      <w:sz w:val="21"/>
                      <w:szCs w:val="21"/>
                    </w:rPr>
                    <w:t>0.48</w:t>
                  </w:r>
                </w:p>
              </w:tc>
              <w:tc>
                <w:tcPr>
                  <w:tcW w:w="850" w:type="dxa"/>
                  <w:vAlign w:val="center"/>
                </w:tcPr>
                <w:p>
                  <w:pPr>
                    <w:widowControl/>
                    <w:jc w:val="center"/>
                    <w:textAlignment w:val="center"/>
                    <w:rPr>
                      <w:rFonts w:eastAsia="宋体"/>
                      <w:color w:val="000000"/>
                      <w:sz w:val="21"/>
                      <w:szCs w:val="21"/>
                    </w:rPr>
                  </w:pPr>
                  <w:r>
                    <w:rPr>
                      <w:rFonts w:hint="eastAsia" w:eastAsia="宋体"/>
                      <w:sz w:val="21"/>
                      <w:szCs w:val="21"/>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3" w:type="dxa"/>
                </w:tblCellMar>
              </w:tblPrEx>
              <w:trPr>
                <w:trHeight w:val="369" w:hRule="exact"/>
                <w:jc w:val="center"/>
              </w:trPr>
              <w:tc>
                <w:tcPr>
                  <w:tcW w:w="999" w:type="dxa"/>
                  <w:vMerge w:val="continue"/>
                </w:tcPr>
                <w:p>
                  <w:pPr>
                    <w:jc w:val="center"/>
                    <w:rPr>
                      <w:rFonts w:eastAsia="宋体"/>
                      <w:sz w:val="21"/>
                      <w:szCs w:val="21"/>
                    </w:rPr>
                  </w:pPr>
                </w:p>
              </w:tc>
              <w:tc>
                <w:tcPr>
                  <w:tcW w:w="1125" w:type="dxa"/>
                  <w:vMerge w:val="continue"/>
                </w:tcPr>
                <w:p>
                  <w:pPr>
                    <w:jc w:val="center"/>
                    <w:rPr>
                      <w:rFonts w:ascii="宋体" w:hAnsi="宋体" w:eastAsia="宋体" w:cs="宋体"/>
                      <w:sz w:val="21"/>
                      <w:szCs w:val="21"/>
                    </w:rPr>
                  </w:pPr>
                </w:p>
              </w:tc>
              <w:tc>
                <w:tcPr>
                  <w:tcW w:w="1905" w:type="dxa"/>
                  <w:vAlign w:val="center"/>
                </w:tcPr>
                <w:p>
                  <w:pPr>
                    <w:jc w:val="center"/>
                    <w:rPr>
                      <w:rFonts w:eastAsia="宋体"/>
                      <w:sz w:val="21"/>
                      <w:szCs w:val="21"/>
                    </w:rPr>
                  </w:pPr>
                  <w:r>
                    <w:rPr>
                      <w:rFonts w:hint="eastAsia" w:eastAsia="宋体"/>
                      <w:sz w:val="21"/>
                      <w:szCs w:val="21"/>
                    </w:rPr>
                    <w:t>2020.06.20</w:t>
                  </w:r>
                </w:p>
              </w:tc>
              <w:tc>
                <w:tcPr>
                  <w:tcW w:w="933" w:type="dxa"/>
                  <w:vAlign w:val="center"/>
                </w:tcPr>
                <w:p>
                  <w:pPr>
                    <w:widowControl/>
                    <w:jc w:val="center"/>
                    <w:textAlignment w:val="center"/>
                    <w:rPr>
                      <w:rFonts w:eastAsia="宋体"/>
                      <w:color w:val="000000"/>
                      <w:sz w:val="21"/>
                      <w:szCs w:val="21"/>
                    </w:rPr>
                  </w:pPr>
                  <w:r>
                    <w:rPr>
                      <w:rFonts w:hint="eastAsia" w:eastAsia="宋体"/>
                      <w:sz w:val="21"/>
                      <w:szCs w:val="21"/>
                    </w:rPr>
                    <w:t>0.43</w:t>
                  </w:r>
                </w:p>
              </w:tc>
              <w:tc>
                <w:tcPr>
                  <w:tcW w:w="992" w:type="dxa"/>
                  <w:vAlign w:val="center"/>
                </w:tcPr>
                <w:p>
                  <w:pPr>
                    <w:widowControl/>
                    <w:jc w:val="center"/>
                    <w:textAlignment w:val="center"/>
                    <w:rPr>
                      <w:rFonts w:eastAsia="宋体"/>
                      <w:color w:val="000000"/>
                      <w:sz w:val="21"/>
                      <w:szCs w:val="21"/>
                    </w:rPr>
                  </w:pPr>
                  <w:r>
                    <w:rPr>
                      <w:rFonts w:hint="eastAsia" w:eastAsia="宋体"/>
                      <w:sz w:val="21"/>
                      <w:szCs w:val="21"/>
                    </w:rPr>
                    <w:t>0.40</w:t>
                  </w:r>
                </w:p>
              </w:tc>
              <w:tc>
                <w:tcPr>
                  <w:tcW w:w="993" w:type="dxa"/>
                  <w:vAlign w:val="center"/>
                </w:tcPr>
                <w:p>
                  <w:pPr>
                    <w:widowControl/>
                    <w:jc w:val="center"/>
                    <w:textAlignment w:val="center"/>
                    <w:rPr>
                      <w:rFonts w:eastAsia="宋体"/>
                      <w:color w:val="000000"/>
                      <w:sz w:val="21"/>
                      <w:szCs w:val="21"/>
                    </w:rPr>
                  </w:pPr>
                  <w:r>
                    <w:rPr>
                      <w:rFonts w:hint="eastAsia" w:eastAsia="宋体"/>
                      <w:sz w:val="21"/>
                      <w:szCs w:val="21"/>
                    </w:rPr>
                    <w:t>0.49</w:t>
                  </w:r>
                </w:p>
              </w:tc>
              <w:tc>
                <w:tcPr>
                  <w:tcW w:w="850" w:type="dxa"/>
                  <w:vAlign w:val="center"/>
                </w:tcPr>
                <w:p>
                  <w:pPr>
                    <w:widowControl/>
                    <w:jc w:val="center"/>
                    <w:textAlignment w:val="center"/>
                    <w:rPr>
                      <w:rFonts w:eastAsia="宋体"/>
                      <w:color w:val="000000"/>
                      <w:sz w:val="21"/>
                      <w:szCs w:val="21"/>
                    </w:rPr>
                  </w:pPr>
                  <w:r>
                    <w:rPr>
                      <w:rFonts w:hint="eastAsia" w:eastAsia="宋体"/>
                      <w:sz w:val="21"/>
                      <w:szCs w:val="21"/>
                    </w:rPr>
                    <w:t>0.46</w:t>
                  </w:r>
                </w:p>
              </w:tc>
            </w:tr>
          </w:tbl>
          <w:p>
            <w:pPr>
              <w:adjustRightInd w:val="0"/>
              <w:snapToGrid w:val="0"/>
              <w:spacing w:line="360" w:lineRule="auto"/>
              <w:rPr>
                <w:bCs/>
                <w:sz w:val="24"/>
                <w:szCs w:val="24"/>
              </w:rPr>
            </w:pPr>
          </w:p>
          <w:p>
            <w:pPr>
              <w:adjustRightInd w:val="0"/>
              <w:snapToGrid w:val="0"/>
              <w:spacing w:line="360" w:lineRule="auto"/>
              <w:ind w:firstLine="480" w:firstLineChars="200"/>
            </w:pPr>
            <w:r>
              <w:rPr>
                <w:rFonts w:hint="eastAsia"/>
                <w:bCs/>
                <w:sz w:val="24"/>
                <w:szCs w:val="24"/>
              </w:rPr>
              <w:t>由表</w:t>
            </w:r>
            <w:r>
              <w:rPr>
                <w:bCs/>
                <w:sz w:val="24"/>
                <w:szCs w:val="24"/>
              </w:rPr>
              <w:t>3-2</w:t>
            </w:r>
            <w:r>
              <w:rPr>
                <w:rFonts w:hint="eastAsia"/>
                <w:bCs/>
                <w:sz w:val="24"/>
                <w:szCs w:val="24"/>
              </w:rPr>
              <w:t>可知，项目所在区域的环境空气中非甲烷总烃的指标满足</w:t>
            </w:r>
            <w:r>
              <w:rPr>
                <w:rFonts w:hint="eastAsia"/>
                <w:sz w:val="24"/>
                <w:szCs w:val="24"/>
              </w:rPr>
              <w:t>《大气污染物综合排放标准详解》中的相关标准，环境空气质量较好。</w:t>
            </w:r>
          </w:p>
          <w:p>
            <w:pPr>
              <w:pStyle w:val="36"/>
              <w:spacing w:line="360" w:lineRule="auto"/>
              <w:ind w:firstLine="482"/>
              <w:rPr>
                <w:b/>
                <w:bCs/>
                <w:szCs w:val="24"/>
              </w:rPr>
            </w:pPr>
            <w:r>
              <w:rPr>
                <w:rFonts w:hint="eastAsia"/>
                <w:b/>
                <w:szCs w:val="24"/>
              </w:rPr>
              <w:t>2</w:t>
            </w:r>
            <w:r>
              <w:rPr>
                <w:b/>
                <w:szCs w:val="24"/>
              </w:rPr>
              <w:t>.声环境质量</w:t>
            </w:r>
            <w:bookmarkEnd w:id="8"/>
          </w:p>
          <w:p>
            <w:pPr>
              <w:adjustRightInd w:val="0"/>
              <w:snapToGrid w:val="0"/>
              <w:spacing w:line="360" w:lineRule="auto"/>
              <w:ind w:firstLine="480" w:firstLineChars="200"/>
              <w:rPr>
                <w:bCs/>
                <w:sz w:val="24"/>
                <w:szCs w:val="24"/>
              </w:rPr>
            </w:pPr>
            <w:r>
              <w:rPr>
                <w:rFonts w:hint="eastAsia"/>
                <w:bCs/>
                <w:sz w:val="24"/>
                <w:szCs w:val="24"/>
              </w:rPr>
              <w:t>为了了解项目周围的声环境现状，本项目委托辽宁华鸿检测技术服务有限公司于</w:t>
            </w:r>
            <w:r>
              <w:rPr>
                <w:bCs/>
                <w:sz w:val="24"/>
                <w:szCs w:val="24"/>
              </w:rPr>
              <w:t xml:space="preserve"> 2020 </w:t>
            </w:r>
            <w:r>
              <w:rPr>
                <w:rFonts w:hint="eastAsia"/>
                <w:bCs/>
                <w:sz w:val="24"/>
                <w:szCs w:val="24"/>
              </w:rPr>
              <w:t>年</w:t>
            </w:r>
            <w:r>
              <w:rPr>
                <w:bCs/>
                <w:sz w:val="24"/>
                <w:szCs w:val="24"/>
              </w:rPr>
              <w:t xml:space="preserve"> 6</w:t>
            </w:r>
            <w:r>
              <w:rPr>
                <w:rFonts w:hint="eastAsia"/>
                <w:bCs/>
                <w:sz w:val="24"/>
                <w:szCs w:val="24"/>
              </w:rPr>
              <w:t>月</w:t>
            </w:r>
            <w:r>
              <w:rPr>
                <w:bCs/>
                <w:sz w:val="24"/>
                <w:szCs w:val="24"/>
              </w:rPr>
              <w:t xml:space="preserve"> 14</w:t>
            </w:r>
            <w:r>
              <w:rPr>
                <w:rFonts w:hint="eastAsia"/>
                <w:bCs/>
                <w:sz w:val="24"/>
                <w:szCs w:val="24"/>
              </w:rPr>
              <w:t>日</w:t>
            </w:r>
            <w:r>
              <w:rPr>
                <w:bCs/>
                <w:sz w:val="24"/>
                <w:szCs w:val="24"/>
              </w:rPr>
              <w:t>-2020</w:t>
            </w:r>
            <w:r>
              <w:rPr>
                <w:rFonts w:hint="eastAsia"/>
                <w:bCs/>
                <w:sz w:val="24"/>
                <w:szCs w:val="24"/>
              </w:rPr>
              <w:t>年</w:t>
            </w:r>
            <w:r>
              <w:rPr>
                <w:bCs/>
                <w:sz w:val="24"/>
                <w:szCs w:val="24"/>
              </w:rPr>
              <w:t xml:space="preserve"> 6</w:t>
            </w:r>
            <w:r>
              <w:rPr>
                <w:rFonts w:hint="eastAsia"/>
                <w:bCs/>
                <w:sz w:val="24"/>
                <w:szCs w:val="24"/>
              </w:rPr>
              <w:t>月</w:t>
            </w:r>
            <w:r>
              <w:rPr>
                <w:bCs/>
                <w:sz w:val="24"/>
                <w:szCs w:val="24"/>
              </w:rPr>
              <w:t xml:space="preserve"> 15</w:t>
            </w:r>
            <w:r>
              <w:rPr>
                <w:rFonts w:hint="eastAsia"/>
                <w:bCs/>
                <w:sz w:val="24"/>
                <w:szCs w:val="24"/>
              </w:rPr>
              <w:t>日对项目拟建地块声环境状况进行了监测。噪声监测布点为东、西、南、北四侧厂界外</w:t>
            </w:r>
            <w:r>
              <w:rPr>
                <w:bCs/>
                <w:sz w:val="24"/>
                <w:szCs w:val="24"/>
              </w:rPr>
              <w:t xml:space="preserve"> 1 </w:t>
            </w:r>
            <w:r>
              <w:rPr>
                <w:rFonts w:hint="eastAsia"/>
                <w:bCs/>
                <w:sz w:val="24"/>
                <w:szCs w:val="24"/>
              </w:rPr>
              <w:t>米处，及距厂</w:t>
            </w:r>
            <w:r>
              <w:rPr>
                <w:bCs/>
                <w:sz w:val="24"/>
                <w:szCs w:val="24"/>
              </w:rPr>
              <w:t>界</w:t>
            </w:r>
            <w:r>
              <w:rPr>
                <w:rFonts w:hint="eastAsia"/>
                <w:bCs/>
                <w:sz w:val="24"/>
                <w:szCs w:val="24"/>
              </w:rPr>
              <w:t>东</w:t>
            </w:r>
            <w:r>
              <w:rPr>
                <w:bCs/>
                <w:sz w:val="24"/>
                <w:szCs w:val="24"/>
              </w:rPr>
              <w:t>侧、西侧、南侧最近的居民住宅处，</w:t>
            </w:r>
            <w:r>
              <w:rPr>
                <w:rFonts w:hint="eastAsia"/>
                <w:bCs/>
                <w:sz w:val="24"/>
                <w:szCs w:val="24"/>
              </w:rPr>
              <w:t>连续监测</w:t>
            </w:r>
            <w:r>
              <w:rPr>
                <w:bCs/>
                <w:sz w:val="24"/>
                <w:szCs w:val="24"/>
              </w:rPr>
              <w:t xml:space="preserve"> 2 </w:t>
            </w:r>
            <w:r>
              <w:rPr>
                <w:rFonts w:hint="eastAsia"/>
                <w:bCs/>
                <w:sz w:val="24"/>
                <w:szCs w:val="24"/>
              </w:rPr>
              <w:t>天，每天昼夜各监测</w:t>
            </w:r>
            <w:r>
              <w:rPr>
                <w:bCs/>
                <w:sz w:val="24"/>
                <w:szCs w:val="24"/>
              </w:rPr>
              <w:t xml:space="preserve"> 1 </w:t>
            </w:r>
            <w:r>
              <w:rPr>
                <w:rFonts w:hint="eastAsia"/>
                <w:bCs/>
                <w:sz w:val="24"/>
                <w:szCs w:val="24"/>
              </w:rPr>
              <w:t>次。厂界噪声监测结果见下表：。</w:t>
            </w:r>
          </w:p>
          <w:p>
            <w:pPr>
              <w:pStyle w:val="14"/>
              <w:adjustRightInd w:val="0"/>
              <w:snapToGrid w:val="0"/>
              <w:jc w:val="center"/>
              <w:rPr>
                <w:rFonts w:ascii="宋体" w:hAnsi="宋体" w:eastAsia="宋体" w:cs="宋体"/>
                <w:sz w:val="24"/>
                <w:szCs w:val="22"/>
              </w:rPr>
            </w:pPr>
            <w:r>
              <w:rPr>
                <w:rFonts w:hint="eastAsia" w:ascii="宋体" w:hAnsi="宋体" w:eastAsia="宋体" w:cs="宋体"/>
                <w:sz w:val="24"/>
                <w:szCs w:val="22"/>
              </w:rPr>
              <w:t>表</w:t>
            </w:r>
            <w:r>
              <w:rPr>
                <w:rFonts w:ascii="宋体" w:hAnsi="宋体" w:eastAsia="宋体" w:cs="宋体"/>
                <w:sz w:val="24"/>
                <w:szCs w:val="22"/>
              </w:rPr>
              <w:t xml:space="preserve">3-3      </w:t>
            </w:r>
            <w:r>
              <w:rPr>
                <w:rFonts w:hint="eastAsia" w:ascii="宋体" w:hAnsi="宋体" w:eastAsia="宋体" w:cs="宋体"/>
                <w:sz w:val="24"/>
                <w:szCs w:val="22"/>
              </w:rPr>
              <w:t>声环境质量现状监测结果  单位：dB(A)</w:t>
            </w:r>
          </w:p>
          <w:tbl>
            <w:tblPr>
              <w:tblStyle w:val="25"/>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559"/>
              <w:gridCol w:w="1418"/>
              <w:gridCol w:w="138"/>
              <w:gridCol w:w="363"/>
              <w:gridCol w:w="916"/>
              <w:gridCol w:w="821"/>
              <w:gridCol w:w="570"/>
              <w:gridCol w:w="175"/>
              <w:gridCol w:w="1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830" w:type="dxa"/>
                  <w:gridSpan w:val="2"/>
                  <w:vAlign w:val="center"/>
                </w:tcPr>
                <w:p>
                  <w:pPr>
                    <w:spacing w:line="280" w:lineRule="exact"/>
                    <w:jc w:val="center"/>
                    <w:rPr>
                      <w:rFonts w:ascii="宋体" w:hAnsi="宋体" w:eastAsia="宋体"/>
                      <w:sz w:val="21"/>
                      <w:szCs w:val="21"/>
                    </w:rPr>
                  </w:pPr>
                  <w:r>
                    <w:rPr>
                      <w:rFonts w:hint="eastAsia" w:ascii="宋体" w:hAnsi="宋体" w:eastAsia="宋体"/>
                      <w:sz w:val="21"/>
                      <w:szCs w:val="21"/>
                    </w:rPr>
                    <w:t>检测项目</w:t>
                  </w:r>
                </w:p>
              </w:tc>
              <w:tc>
                <w:tcPr>
                  <w:tcW w:w="1919" w:type="dxa"/>
                  <w:gridSpan w:val="3"/>
                  <w:vAlign w:val="center"/>
                </w:tcPr>
                <w:p>
                  <w:pPr>
                    <w:spacing w:line="280" w:lineRule="exact"/>
                    <w:jc w:val="center"/>
                    <w:rPr>
                      <w:rFonts w:ascii="宋体" w:hAnsi="宋体" w:eastAsia="宋体"/>
                      <w:sz w:val="21"/>
                      <w:szCs w:val="21"/>
                    </w:rPr>
                  </w:pPr>
                  <w:r>
                    <w:rPr>
                      <w:rFonts w:hint="eastAsia" w:eastAsia="宋体"/>
                      <w:sz w:val="21"/>
                      <w:szCs w:val="21"/>
                    </w:rPr>
                    <w:t>等效连续A声级</w:t>
                  </w:r>
                  <w:r>
                    <w:rPr>
                      <w:rFonts w:eastAsia="宋体"/>
                      <w:sz w:val="21"/>
                      <w:szCs w:val="21"/>
                    </w:rPr>
                    <w:t xml:space="preserve">   </w:t>
                  </w:r>
                </w:p>
              </w:tc>
              <w:tc>
                <w:tcPr>
                  <w:tcW w:w="2482" w:type="dxa"/>
                  <w:gridSpan w:val="4"/>
                  <w:vAlign w:val="center"/>
                </w:tcPr>
                <w:p>
                  <w:pPr>
                    <w:spacing w:line="280" w:lineRule="exact"/>
                    <w:jc w:val="center"/>
                    <w:rPr>
                      <w:rFonts w:ascii="宋体" w:hAnsi="宋体" w:eastAsia="宋体"/>
                      <w:sz w:val="21"/>
                      <w:szCs w:val="21"/>
                    </w:rPr>
                  </w:pPr>
                  <w:r>
                    <w:rPr>
                      <w:rFonts w:eastAsia="宋体"/>
                      <w:sz w:val="21"/>
                      <w:szCs w:val="21"/>
                    </w:rPr>
                    <w:t xml:space="preserve">测量期间最大风速（m/s） </w:t>
                  </w:r>
                </w:p>
              </w:tc>
              <w:tc>
                <w:tcPr>
                  <w:tcW w:w="1269" w:type="dxa"/>
                  <w:tcMar>
                    <w:top w:w="0" w:type="dxa"/>
                    <w:left w:w="0" w:type="dxa"/>
                    <w:bottom w:w="0" w:type="dxa"/>
                    <w:right w:w="0" w:type="dxa"/>
                  </w:tcMar>
                  <w:vAlign w:val="center"/>
                </w:tcPr>
                <w:p>
                  <w:pPr>
                    <w:spacing w:line="280" w:lineRule="exact"/>
                    <w:jc w:val="center"/>
                    <w:rPr>
                      <w:rFonts w:ascii="宋体" w:hAnsi="宋体" w:eastAsia="宋体"/>
                      <w:sz w:val="21"/>
                      <w:szCs w:val="21"/>
                    </w:rPr>
                  </w:pPr>
                  <w:r>
                    <w:rPr>
                      <w:rFonts w:hint="eastAsia" w:eastAsia="宋体"/>
                      <w:sz w:val="21"/>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830" w:type="dxa"/>
                  <w:gridSpan w:val="2"/>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检测仪器            </w:t>
                  </w:r>
                </w:p>
              </w:tc>
              <w:tc>
                <w:tcPr>
                  <w:tcW w:w="5670" w:type="dxa"/>
                  <w:gridSpan w:val="8"/>
                  <w:vAlign w:val="center"/>
                </w:tcPr>
                <w:p>
                  <w:pPr>
                    <w:spacing w:line="280" w:lineRule="exact"/>
                    <w:jc w:val="center"/>
                    <w:rPr>
                      <w:rFonts w:ascii="宋体" w:hAnsi="宋体" w:eastAsia="宋体"/>
                      <w:sz w:val="21"/>
                      <w:szCs w:val="21"/>
                    </w:rPr>
                  </w:pPr>
                  <w:r>
                    <w:rPr>
                      <w:rFonts w:eastAsia="宋体"/>
                      <w:sz w:val="21"/>
                      <w:szCs w:val="21"/>
                    </w:rPr>
                    <w:t xml:space="preserve">噪声频谱分析仪HS6298B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830" w:type="dxa"/>
                  <w:gridSpan w:val="2"/>
                  <w:vMerge w:val="restart"/>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校准仪器            </w:t>
                  </w:r>
                </w:p>
              </w:tc>
              <w:tc>
                <w:tcPr>
                  <w:tcW w:w="5670" w:type="dxa"/>
                  <w:gridSpan w:val="8"/>
                  <w:vAlign w:val="center"/>
                </w:tcPr>
                <w:p>
                  <w:pPr>
                    <w:spacing w:line="280" w:lineRule="exact"/>
                    <w:jc w:val="center"/>
                    <w:rPr>
                      <w:rFonts w:ascii="宋体" w:hAnsi="宋体" w:eastAsia="宋体"/>
                      <w:sz w:val="21"/>
                      <w:szCs w:val="21"/>
                    </w:rPr>
                  </w:pPr>
                  <w:r>
                    <w:rPr>
                      <w:rFonts w:eastAsia="宋体"/>
                      <w:sz w:val="21"/>
                      <w:szCs w:val="21"/>
                    </w:rPr>
                    <w:t xml:space="preserve">仪器型号HS6021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830" w:type="dxa"/>
                  <w:gridSpan w:val="2"/>
                  <w:vMerge w:val="continue"/>
                  <w:vAlign w:val="center"/>
                </w:tcPr>
                <w:p>
                  <w:pPr>
                    <w:spacing w:line="280" w:lineRule="exact"/>
                    <w:jc w:val="center"/>
                    <w:rPr>
                      <w:rFonts w:ascii="宋体" w:hAnsi="宋体" w:eastAsia="宋体"/>
                      <w:sz w:val="21"/>
                      <w:szCs w:val="21"/>
                    </w:rPr>
                  </w:pPr>
                </w:p>
              </w:tc>
              <w:tc>
                <w:tcPr>
                  <w:tcW w:w="5670" w:type="dxa"/>
                  <w:gridSpan w:val="8"/>
                  <w:vAlign w:val="center"/>
                </w:tcPr>
                <w:p>
                  <w:pPr>
                    <w:spacing w:line="280" w:lineRule="exact"/>
                    <w:jc w:val="center"/>
                    <w:rPr>
                      <w:rFonts w:eastAsia="宋体"/>
                      <w:sz w:val="21"/>
                      <w:szCs w:val="21"/>
                    </w:rPr>
                  </w:pPr>
                  <w:r>
                    <w:rPr>
                      <w:rFonts w:eastAsia="宋体"/>
                      <w:sz w:val="21"/>
                      <w:szCs w:val="21"/>
                    </w:rPr>
                    <w:t xml:space="preserve">测前校准：93.8 dB(A)        测后校准：93.8 dB(A)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2830" w:type="dxa"/>
                  <w:gridSpan w:val="2"/>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检测依据            </w:t>
                  </w:r>
                </w:p>
              </w:tc>
              <w:tc>
                <w:tcPr>
                  <w:tcW w:w="5670" w:type="dxa"/>
                  <w:gridSpan w:val="8"/>
                  <w:vAlign w:val="center"/>
                </w:tcPr>
                <w:p>
                  <w:pPr>
                    <w:spacing w:line="280" w:lineRule="exact"/>
                    <w:jc w:val="center"/>
                    <w:rPr>
                      <w:rFonts w:eastAsia="宋体"/>
                      <w:sz w:val="21"/>
                      <w:szCs w:val="21"/>
                    </w:rPr>
                  </w:pPr>
                  <w:r>
                    <w:rPr>
                      <w:rFonts w:hint="eastAsia" w:eastAsia="宋体"/>
                      <w:sz w:val="21"/>
                      <w:szCs w:val="21"/>
                    </w:rPr>
                    <w:t>《声环境质量标准》</w:t>
                  </w:r>
                  <w:r>
                    <w:rPr>
                      <w:rFonts w:eastAsia="宋体"/>
                      <w:sz w:val="21"/>
                      <w:szCs w:val="21"/>
                    </w:rPr>
                    <w:t xml:space="preserve"> GB </w:t>
                  </w:r>
                  <w:r>
                    <w:rPr>
                      <w:rFonts w:hint="eastAsia" w:eastAsia="宋体"/>
                      <w:sz w:val="21"/>
                      <w:szCs w:val="21"/>
                    </w:rPr>
                    <w:t>3096</w:t>
                  </w:r>
                  <w:r>
                    <w:rPr>
                      <w:rFonts w:eastAsia="宋体"/>
                      <w:sz w:val="21"/>
                      <w:szCs w:val="21"/>
                    </w:rPr>
                    <w:t>-2008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restart"/>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检测日期     </w:t>
                  </w:r>
                </w:p>
              </w:tc>
              <w:tc>
                <w:tcPr>
                  <w:tcW w:w="1559" w:type="dxa"/>
                  <w:vMerge w:val="restart"/>
                  <w:tcBorders>
                    <w:tl2br w:val="single" w:color="auto" w:sz="4" w:space="0"/>
                  </w:tcBorders>
                  <w:vAlign w:val="center"/>
                </w:tcPr>
                <w:p>
                  <w:pPr>
                    <w:spacing w:line="280" w:lineRule="exact"/>
                    <w:ind w:right="-53" w:rightChars="-19"/>
                    <w:jc w:val="right"/>
                    <w:rPr>
                      <w:rFonts w:ascii="宋体" w:hAnsi="宋体" w:eastAsia="宋体"/>
                      <w:sz w:val="21"/>
                      <w:szCs w:val="21"/>
                    </w:rPr>
                  </w:pPr>
                  <w:r>
                    <w:rPr>
                      <w:rFonts w:hint="eastAsia" w:ascii="宋体" w:hAnsi="宋体" w:eastAsia="宋体"/>
                      <w:sz w:val="21"/>
                      <w:szCs w:val="21"/>
                    </w:rPr>
                    <w:t>检测点位</w:t>
                  </w:r>
                </w:p>
                <w:p>
                  <w:pPr>
                    <w:spacing w:line="280" w:lineRule="exact"/>
                    <w:rPr>
                      <w:rFonts w:ascii="宋体" w:hAnsi="宋体" w:eastAsia="宋体"/>
                      <w:sz w:val="21"/>
                      <w:szCs w:val="21"/>
                    </w:rPr>
                  </w:pPr>
                  <w:r>
                    <w:rPr>
                      <w:rFonts w:hint="eastAsia" w:ascii="宋体" w:hAnsi="宋体" w:eastAsia="宋体"/>
                      <w:sz w:val="21"/>
                      <w:szCs w:val="21"/>
                    </w:rPr>
                    <w:t xml:space="preserve">时间      </w:t>
                  </w:r>
                </w:p>
              </w:tc>
              <w:tc>
                <w:tcPr>
                  <w:tcW w:w="5670" w:type="dxa"/>
                  <w:gridSpan w:val="8"/>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检测结果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continue"/>
                  <w:vAlign w:val="center"/>
                </w:tcPr>
                <w:p>
                  <w:pPr>
                    <w:spacing w:line="280" w:lineRule="exact"/>
                    <w:jc w:val="center"/>
                    <w:rPr>
                      <w:rFonts w:ascii="宋体" w:hAnsi="宋体" w:eastAsia="宋体"/>
                      <w:sz w:val="21"/>
                      <w:szCs w:val="21"/>
                    </w:rPr>
                  </w:pPr>
                </w:p>
              </w:tc>
              <w:tc>
                <w:tcPr>
                  <w:tcW w:w="1559" w:type="dxa"/>
                  <w:vMerge w:val="continue"/>
                  <w:vAlign w:val="center"/>
                </w:tcPr>
                <w:p>
                  <w:pPr>
                    <w:spacing w:line="280" w:lineRule="exact"/>
                    <w:jc w:val="center"/>
                    <w:rPr>
                      <w:rFonts w:ascii="宋体" w:hAnsi="宋体" w:eastAsia="宋体"/>
                      <w:sz w:val="21"/>
                      <w:szCs w:val="21"/>
                    </w:rPr>
                  </w:pPr>
                </w:p>
              </w:tc>
              <w:tc>
                <w:tcPr>
                  <w:tcW w:w="1418"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厂界东侧1</w:t>
                  </w:r>
                  <w:r>
                    <w:rPr>
                      <w:rFonts w:hint="eastAsia" w:eastAsia="宋体"/>
                      <w:sz w:val="21"/>
                      <w:szCs w:val="21"/>
                    </w:rPr>
                    <w:t>#</w:t>
                  </w:r>
                  <w:r>
                    <w:rPr>
                      <w:rFonts w:hint="eastAsia" w:ascii="宋体" w:hAnsi="宋体" w:eastAsia="宋体"/>
                      <w:sz w:val="21"/>
                      <w:szCs w:val="21"/>
                    </w:rPr>
                    <w:t xml:space="preserve">  </w:t>
                  </w:r>
                </w:p>
              </w:tc>
              <w:tc>
                <w:tcPr>
                  <w:tcW w:w="1417" w:type="dxa"/>
                  <w:gridSpan w:val="3"/>
                  <w:vAlign w:val="center"/>
                </w:tcPr>
                <w:p>
                  <w:pPr>
                    <w:spacing w:line="280" w:lineRule="exact"/>
                    <w:jc w:val="center"/>
                    <w:rPr>
                      <w:rFonts w:ascii="宋体" w:hAnsi="宋体" w:eastAsia="宋体"/>
                      <w:sz w:val="21"/>
                      <w:szCs w:val="21"/>
                    </w:rPr>
                  </w:pPr>
                  <w:r>
                    <w:rPr>
                      <w:rFonts w:hint="eastAsia" w:ascii="宋体" w:hAnsi="宋体" w:eastAsia="宋体"/>
                      <w:sz w:val="21"/>
                      <w:szCs w:val="21"/>
                    </w:rPr>
                    <w:t>厂界南侧2</w:t>
                  </w:r>
                  <w:r>
                    <w:rPr>
                      <w:rFonts w:hint="eastAsia" w:eastAsia="宋体"/>
                      <w:sz w:val="21"/>
                      <w:szCs w:val="21"/>
                    </w:rPr>
                    <w:t>#</w:t>
                  </w:r>
                  <w:r>
                    <w:rPr>
                      <w:rFonts w:hint="eastAsia" w:ascii="宋体" w:hAnsi="宋体" w:eastAsia="宋体"/>
                      <w:sz w:val="21"/>
                      <w:szCs w:val="21"/>
                    </w:rPr>
                    <w:t xml:space="preserve"> </w:t>
                  </w:r>
                </w:p>
              </w:tc>
              <w:tc>
                <w:tcPr>
                  <w:tcW w:w="1391" w:type="dxa"/>
                  <w:gridSpan w:val="2"/>
                  <w:vAlign w:val="center"/>
                </w:tcPr>
                <w:p>
                  <w:pPr>
                    <w:spacing w:line="280" w:lineRule="exact"/>
                    <w:jc w:val="center"/>
                    <w:rPr>
                      <w:rFonts w:ascii="宋体" w:hAnsi="宋体" w:eastAsia="宋体"/>
                      <w:sz w:val="21"/>
                      <w:szCs w:val="21"/>
                    </w:rPr>
                  </w:pPr>
                  <w:r>
                    <w:rPr>
                      <w:rFonts w:hint="eastAsia" w:ascii="宋体" w:hAnsi="宋体" w:eastAsia="宋体"/>
                      <w:sz w:val="21"/>
                      <w:szCs w:val="21"/>
                    </w:rPr>
                    <w:t>厂界西侧3</w:t>
                  </w:r>
                  <w:r>
                    <w:rPr>
                      <w:rFonts w:hint="eastAsia" w:eastAsia="宋体"/>
                      <w:sz w:val="21"/>
                      <w:szCs w:val="21"/>
                    </w:rPr>
                    <w:t>#</w:t>
                  </w:r>
                  <w:r>
                    <w:rPr>
                      <w:rFonts w:hint="eastAsia" w:ascii="宋体" w:hAnsi="宋体" w:eastAsia="宋体"/>
                      <w:sz w:val="21"/>
                      <w:szCs w:val="21"/>
                    </w:rPr>
                    <w:t xml:space="preserve">  </w:t>
                  </w:r>
                </w:p>
              </w:tc>
              <w:tc>
                <w:tcPr>
                  <w:tcW w:w="1444" w:type="dxa"/>
                  <w:gridSpan w:val="2"/>
                  <w:vAlign w:val="center"/>
                </w:tcPr>
                <w:p>
                  <w:pPr>
                    <w:spacing w:line="280" w:lineRule="exact"/>
                    <w:jc w:val="center"/>
                    <w:rPr>
                      <w:rFonts w:ascii="宋体" w:hAnsi="宋体" w:eastAsia="宋体"/>
                      <w:sz w:val="21"/>
                      <w:szCs w:val="21"/>
                    </w:rPr>
                  </w:pPr>
                  <w:r>
                    <w:rPr>
                      <w:rFonts w:hint="eastAsia" w:ascii="宋体" w:hAnsi="宋体" w:eastAsia="宋体"/>
                      <w:sz w:val="21"/>
                      <w:szCs w:val="21"/>
                    </w:rPr>
                    <w:t>厂界北侧4</w:t>
                  </w:r>
                  <w:r>
                    <w:rPr>
                      <w:rFonts w:hint="eastAsia" w:eastAsia="宋体"/>
                      <w:sz w:val="21"/>
                      <w:szCs w:val="21"/>
                    </w:rPr>
                    <w:t>#</w:t>
                  </w:r>
                  <w:r>
                    <w:rPr>
                      <w:rFonts w:hint="eastAsia" w:ascii="宋体" w:hAnsi="宋体" w:eastAsia="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jc w:val="center"/>
              </w:trPr>
              <w:tc>
                <w:tcPr>
                  <w:tcW w:w="1271" w:type="dxa"/>
                  <w:vMerge w:val="restart"/>
                  <w:vAlign w:val="center"/>
                </w:tcPr>
                <w:p>
                  <w:pPr>
                    <w:jc w:val="center"/>
                    <w:rPr>
                      <w:rFonts w:eastAsia="宋体"/>
                      <w:sz w:val="21"/>
                      <w:szCs w:val="21"/>
                    </w:rPr>
                  </w:pPr>
                  <w:r>
                    <w:rPr>
                      <w:rFonts w:hint="eastAsia" w:eastAsia="宋体"/>
                      <w:sz w:val="21"/>
                      <w:szCs w:val="21"/>
                    </w:rPr>
                    <w:t>2020.06.14</w:t>
                  </w: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昼间     </w:t>
                  </w:r>
                </w:p>
              </w:tc>
              <w:tc>
                <w:tcPr>
                  <w:tcW w:w="1418" w:type="dxa"/>
                  <w:vAlign w:val="center"/>
                </w:tcPr>
                <w:p>
                  <w:pPr>
                    <w:spacing w:line="280" w:lineRule="exact"/>
                    <w:jc w:val="center"/>
                    <w:rPr>
                      <w:rFonts w:eastAsia="宋体"/>
                      <w:sz w:val="21"/>
                      <w:szCs w:val="21"/>
                    </w:rPr>
                  </w:pPr>
                  <w:r>
                    <w:rPr>
                      <w:rFonts w:hint="eastAsia" w:eastAsia="宋体"/>
                      <w:sz w:val="21"/>
                      <w:szCs w:val="21"/>
                    </w:rPr>
                    <w:t>52</w:t>
                  </w:r>
                </w:p>
              </w:tc>
              <w:tc>
                <w:tcPr>
                  <w:tcW w:w="1417" w:type="dxa"/>
                  <w:gridSpan w:val="3"/>
                  <w:vAlign w:val="center"/>
                </w:tcPr>
                <w:p>
                  <w:pPr>
                    <w:spacing w:line="280" w:lineRule="exact"/>
                    <w:jc w:val="center"/>
                    <w:rPr>
                      <w:rFonts w:eastAsia="宋体"/>
                      <w:sz w:val="21"/>
                      <w:szCs w:val="21"/>
                    </w:rPr>
                  </w:pPr>
                  <w:r>
                    <w:rPr>
                      <w:rFonts w:hint="eastAsia" w:eastAsia="宋体"/>
                      <w:sz w:val="21"/>
                      <w:szCs w:val="21"/>
                    </w:rPr>
                    <w:t>53</w:t>
                  </w:r>
                </w:p>
              </w:tc>
              <w:tc>
                <w:tcPr>
                  <w:tcW w:w="1391" w:type="dxa"/>
                  <w:gridSpan w:val="2"/>
                  <w:vAlign w:val="center"/>
                </w:tcPr>
                <w:p>
                  <w:pPr>
                    <w:spacing w:line="280" w:lineRule="exact"/>
                    <w:jc w:val="center"/>
                    <w:rPr>
                      <w:rFonts w:eastAsia="宋体"/>
                      <w:sz w:val="21"/>
                      <w:szCs w:val="21"/>
                    </w:rPr>
                  </w:pPr>
                  <w:r>
                    <w:rPr>
                      <w:rFonts w:hint="eastAsia" w:eastAsia="宋体"/>
                      <w:sz w:val="21"/>
                      <w:szCs w:val="21"/>
                    </w:rPr>
                    <w:t>50</w:t>
                  </w:r>
                </w:p>
              </w:tc>
              <w:tc>
                <w:tcPr>
                  <w:tcW w:w="1444" w:type="dxa"/>
                  <w:gridSpan w:val="2"/>
                  <w:vAlign w:val="center"/>
                </w:tcPr>
                <w:p>
                  <w:pPr>
                    <w:spacing w:line="280" w:lineRule="exact"/>
                    <w:jc w:val="center"/>
                    <w:rPr>
                      <w:rFonts w:eastAsia="宋体"/>
                      <w:sz w:val="21"/>
                      <w:szCs w:val="21"/>
                    </w:rPr>
                  </w:pPr>
                  <w:r>
                    <w:rPr>
                      <w:rFonts w:hint="eastAsia" w:eastAsia="宋体"/>
                      <w:sz w:val="21"/>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continue"/>
                  <w:vAlign w:val="center"/>
                </w:tcPr>
                <w:p>
                  <w:pPr>
                    <w:spacing w:line="280" w:lineRule="exact"/>
                    <w:jc w:val="center"/>
                    <w:rPr>
                      <w:rFonts w:eastAsia="宋体"/>
                      <w:sz w:val="21"/>
                      <w:szCs w:val="21"/>
                    </w:rPr>
                  </w:pP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夜间     </w:t>
                  </w:r>
                </w:p>
              </w:tc>
              <w:tc>
                <w:tcPr>
                  <w:tcW w:w="1418" w:type="dxa"/>
                  <w:vAlign w:val="center"/>
                </w:tcPr>
                <w:p>
                  <w:pPr>
                    <w:spacing w:line="280" w:lineRule="exact"/>
                    <w:jc w:val="center"/>
                    <w:rPr>
                      <w:rFonts w:eastAsia="宋体"/>
                      <w:sz w:val="21"/>
                      <w:szCs w:val="21"/>
                    </w:rPr>
                  </w:pPr>
                  <w:r>
                    <w:rPr>
                      <w:rFonts w:hint="eastAsia" w:eastAsia="宋体"/>
                      <w:sz w:val="21"/>
                      <w:szCs w:val="21"/>
                    </w:rPr>
                    <w:t>42</w:t>
                  </w:r>
                </w:p>
              </w:tc>
              <w:tc>
                <w:tcPr>
                  <w:tcW w:w="1417" w:type="dxa"/>
                  <w:gridSpan w:val="3"/>
                  <w:vAlign w:val="center"/>
                </w:tcPr>
                <w:p>
                  <w:pPr>
                    <w:spacing w:line="280" w:lineRule="exact"/>
                    <w:jc w:val="center"/>
                    <w:rPr>
                      <w:rFonts w:eastAsia="宋体"/>
                      <w:sz w:val="21"/>
                      <w:szCs w:val="21"/>
                    </w:rPr>
                  </w:pPr>
                  <w:r>
                    <w:rPr>
                      <w:rFonts w:hint="eastAsia" w:eastAsia="宋体"/>
                      <w:sz w:val="21"/>
                      <w:szCs w:val="21"/>
                    </w:rPr>
                    <w:t>42</w:t>
                  </w:r>
                </w:p>
              </w:tc>
              <w:tc>
                <w:tcPr>
                  <w:tcW w:w="1391" w:type="dxa"/>
                  <w:gridSpan w:val="2"/>
                  <w:vAlign w:val="center"/>
                </w:tcPr>
                <w:p>
                  <w:pPr>
                    <w:spacing w:line="280" w:lineRule="exact"/>
                    <w:jc w:val="center"/>
                    <w:rPr>
                      <w:rFonts w:eastAsia="宋体"/>
                      <w:sz w:val="21"/>
                      <w:szCs w:val="21"/>
                    </w:rPr>
                  </w:pPr>
                  <w:r>
                    <w:rPr>
                      <w:rFonts w:hint="eastAsia" w:eastAsia="宋体"/>
                      <w:sz w:val="21"/>
                      <w:szCs w:val="21"/>
                    </w:rPr>
                    <w:t>41</w:t>
                  </w:r>
                </w:p>
              </w:tc>
              <w:tc>
                <w:tcPr>
                  <w:tcW w:w="1444" w:type="dxa"/>
                  <w:gridSpan w:val="2"/>
                  <w:vAlign w:val="center"/>
                </w:tcPr>
                <w:p>
                  <w:pPr>
                    <w:spacing w:line="280" w:lineRule="exact"/>
                    <w:jc w:val="center"/>
                    <w:rPr>
                      <w:rFonts w:eastAsia="宋体"/>
                      <w:sz w:val="21"/>
                      <w:szCs w:val="21"/>
                    </w:rPr>
                  </w:pPr>
                  <w:r>
                    <w:rPr>
                      <w:rFonts w:hint="eastAsia" w:eastAsia="宋体"/>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restart"/>
                  <w:vAlign w:val="center"/>
                </w:tcPr>
                <w:p>
                  <w:pPr>
                    <w:jc w:val="center"/>
                    <w:rPr>
                      <w:rFonts w:eastAsia="宋体"/>
                      <w:sz w:val="21"/>
                      <w:szCs w:val="21"/>
                    </w:rPr>
                  </w:pPr>
                  <w:r>
                    <w:rPr>
                      <w:rFonts w:hint="eastAsia" w:eastAsia="宋体"/>
                      <w:sz w:val="21"/>
                      <w:szCs w:val="21"/>
                    </w:rPr>
                    <w:t>2020.06.15</w:t>
                  </w: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昼间     </w:t>
                  </w:r>
                </w:p>
              </w:tc>
              <w:tc>
                <w:tcPr>
                  <w:tcW w:w="1418" w:type="dxa"/>
                  <w:vAlign w:val="center"/>
                </w:tcPr>
                <w:p>
                  <w:pPr>
                    <w:spacing w:line="280" w:lineRule="exact"/>
                    <w:jc w:val="center"/>
                    <w:rPr>
                      <w:rFonts w:eastAsia="宋体"/>
                      <w:sz w:val="21"/>
                      <w:szCs w:val="21"/>
                    </w:rPr>
                  </w:pPr>
                  <w:r>
                    <w:rPr>
                      <w:rFonts w:hint="eastAsia" w:eastAsia="宋体"/>
                      <w:sz w:val="21"/>
                      <w:szCs w:val="21"/>
                    </w:rPr>
                    <w:t>51</w:t>
                  </w:r>
                </w:p>
              </w:tc>
              <w:tc>
                <w:tcPr>
                  <w:tcW w:w="1417" w:type="dxa"/>
                  <w:gridSpan w:val="3"/>
                  <w:vAlign w:val="center"/>
                </w:tcPr>
                <w:p>
                  <w:pPr>
                    <w:spacing w:line="280" w:lineRule="exact"/>
                    <w:jc w:val="center"/>
                    <w:rPr>
                      <w:rFonts w:eastAsia="宋体"/>
                      <w:sz w:val="21"/>
                      <w:szCs w:val="21"/>
                    </w:rPr>
                  </w:pPr>
                  <w:r>
                    <w:rPr>
                      <w:rFonts w:hint="eastAsia" w:eastAsia="宋体"/>
                      <w:sz w:val="21"/>
                      <w:szCs w:val="21"/>
                    </w:rPr>
                    <w:t>52</w:t>
                  </w:r>
                </w:p>
              </w:tc>
              <w:tc>
                <w:tcPr>
                  <w:tcW w:w="1391" w:type="dxa"/>
                  <w:gridSpan w:val="2"/>
                  <w:vAlign w:val="center"/>
                </w:tcPr>
                <w:p>
                  <w:pPr>
                    <w:spacing w:line="280" w:lineRule="exact"/>
                    <w:jc w:val="center"/>
                    <w:rPr>
                      <w:rFonts w:eastAsia="宋体"/>
                      <w:sz w:val="21"/>
                      <w:szCs w:val="21"/>
                    </w:rPr>
                  </w:pPr>
                  <w:r>
                    <w:rPr>
                      <w:rFonts w:hint="eastAsia" w:eastAsia="宋体"/>
                      <w:sz w:val="21"/>
                      <w:szCs w:val="21"/>
                    </w:rPr>
                    <w:t>51</w:t>
                  </w:r>
                </w:p>
              </w:tc>
              <w:tc>
                <w:tcPr>
                  <w:tcW w:w="1444" w:type="dxa"/>
                  <w:gridSpan w:val="2"/>
                  <w:vAlign w:val="center"/>
                </w:tcPr>
                <w:p>
                  <w:pPr>
                    <w:spacing w:line="280" w:lineRule="exact"/>
                    <w:jc w:val="center"/>
                    <w:rPr>
                      <w:rFonts w:eastAsia="宋体"/>
                      <w:sz w:val="21"/>
                      <w:szCs w:val="21"/>
                    </w:rPr>
                  </w:pPr>
                  <w:r>
                    <w:rPr>
                      <w:rFonts w:hint="eastAsia" w:eastAsia="宋体"/>
                      <w:sz w:val="21"/>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continue"/>
                  <w:vAlign w:val="center"/>
                </w:tcPr>
                <w:p>
                  <w:pPr>
                    <w:spacing w:line="280" w:lineRule="exact"/>
                    <w:jc w:val="center"/>
                    <w:rPr>
                      <w:rFonts w:ascii="宋体" w:hAnsi="宋体" w:eastAsia="宋体"/>
                      <w:sz w:val="21"/>
                      <w:szCs w:val="21"/>
                    </w:rPr>
                  </w:pP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夜间     </w:t>
                  </w:r>
                </w:p>
              </w:tc>
              <w:tc>
                <w:tcPr>
                  <w:tcW w:w="1418" w:type="dxa"/>
                  <w:vAlign w:val="center"/>
                </w:tcPr>
                <w:p>
                  <w:pPr>
                    <w:spacing w:line="280" w:lineRule="exact"/>
                    <w:jc w:val="center"/>
                    <w:rPr>
                      <w:rFonts w:eastAsia="宋体"/>
                      <w:sz w:val="21"/>
                      <w:szCs w:val="21"/>
                    </w:rPr>
                  </w:pPr>
                  <w:r>
                    <w:rPr>
                      <w:rFonts w:hint="eastAsia" w:eastAsia="宋体"/>
                      <w:sz w:val="21"/>
                      <w:szCs w:val="21"/>
                    </w:rPr>
                    <w:t>42</w:t>
                  </w:r>
                </w:p>
              </w:tc>
              <w:tc>
                <w:tcPr>
                  <w:tcW w:w="1417" w:type="dxa"/>
                  <w:gridSpan w:val="3"/>
                  <w:vAlign w:val="center"/>
                </w:tcPr>
                <w:p>
                  <w:pPr>
                    <w:spacing w:line="280" w:lineRule="exact"/>
                    <w:jc w:val="center"/>
                    <w:rPr>
                      <w:rFonts w:eastAsia="宋体"/>
                      <w:sz w:val="21"/>
                      <w:szCs w:val="21"/>
                    </w:rPr>
                  </w:pPr>
                  <w:r>
                    <w:rPr>
                      <w:rFonts w:hint="eastAsia" w:eastAsia="宋体"/>
                      <w:sz w:val="21"/>
                      <w:szCs w:val="21"/>
                    </w:rPr>
                    <w:t>42</w:t>
                  </w:r>
                </w:p>
              </w:tc>
              <w:tc>
                <w:tcPr>
                  <w:tcW w:w="1391" w:type="dxa"/>
                  <w:gridSpan w:val="2"/>
                  <w:vAlign w:val="center"/>
                </w:tcPr>
                <w:p>
                  <w:pPr>
                    <w:spacing w:line="280" w:lineRule="exact"/>
                    <w:jc w:val="center"/>
                    <w:rPr>
                      <w:rFonts w:eastAsia="宋体"/>
                      <w:sz w:val="21"/>
                      <w:szCs w:val="21"/>
                    </w:rPr>
                  </w:pPr>
                  <w:r>
                    <w:rPr>
                      <w:rFonts w:hint="eastAsia" w:eastAsia="宋体"/>
                      <w:sz w:val="21"/>
                      <w:szCs w:val="21"/>
                    </w:rPr>
                    <w:t>40</w:t>
                  </w:r>
                </w:p>
              </w:tc>
              <w:tc>
                <w:tcPr>
                  <w:tcW w:w="1444" w:type="dxa"/>
                  <w:gridSpan w:val="2"/>
                  <w:vAlign w:val="center"/>
                </w:tcPr>
                <w:p>
                  <w:pPr>
                    <w:spacing w:line="280" w:lineRule="exact"/>
                    <w:jc w:val="center"/>
                    <w:rPr>
                      <w:rFonts w:eastAsia="宋体"/>
                      <w:sz w:val="21"/>
                      <w:szCs w:val="21"/>
                    </w:rPr>
                  </w:pPr>
                  <w:r>
                    <w:rPr>
                      <w:rFonts w:hint="eastAsia" w:eastAsia="宋体"/>
                      <w:sz w:val="21"/>
                      <w:szCs w:val="21"/>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restart"/>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检测日期     </w:t>
                  </w:r>
                </w:p>
              </w:tc>
              <w:tc>
                <w:tcPr>
                  <w:tcW w:w="1559" w:type="dxa"/>
                  <w:vMerge w:val="restart"/>
                  <w:tcBorders>
                    <w:tl2br w:val="single" w:color="auto" w:sz="4" w:space="0"/>
                  </w:tcBorders>
                  <w:vAlign w:val="center"/>
                </w:tcPr>
                <w:p>
                  <w:pPr>
                    <w:spacing w:line="280" w:lineRule="exact"/>
                    <w:ind w:right="-53" w:rightChars="-19"/>
                    <w:jc w:val="right"/>
                    <w:rPr>
                      <w:rFonts w:ascii="宋体" w:hAnsi="宋体" w:eastAsia="宋体"/>
                      <w:sz w:val="21"/>
                      <w:szCs w:val="21"/>
                    </w:rPr>
                  </w:pPr>
                  <w:r>
                    <w:rPr>
                      <w:rFonts w:hint="eastAsia" w:ascii="宋体" w:hAnsi="宋体" w:eastAsia="宋体"/>
                      <w:sz w:val="21"/>
                      <w:szCs w:val="21"/>
                    </w:rPr>
                    <w:t xml:space="preserve">    检测点位 </w:t>
                  </w:r>
                </w:p>
                <w:p>
                  <w:pPr>
                    <w:spacing w:line="280" w:lineRule="exact"/>
                    <w:rPr>
                      <w:rFonts w:ascii="宋体" w:hAnsi="宋体" w:eastAsia="宋体"/>
                      <w:sz w:val="21"/>
                      <w:szCs w:val="21"/>
                    </w:rPr>
                  </w:pPr>
                  <w:r>
                    <w:rPr>
                      <w:rFonts w:hint="eastAsia" w:ascii="宋体" w:hAnsi="宋体" w:eastAsia="宋体"/>
                      <w:sz w:val="21"/>
                      <w:szCs w:val="21"/>
                    </w:rPr>
                    <w:t xml:space="preserve">时间      </w:t>
                  </w:r>
                </w:p>
              </w:tc>
              <w:tc>
                <w:tcPr>
                  <w:tcW w:w="5670" w:type="dxa"/>
                  <w:gridSpan w:val="8"/>
                  <w:vAlign w:val="center"/>
                </w:tcPr>
                <w:p>
                  <w:pPr>
                    <w:spacing w:line="280" w:lineRule="exact"/>
                    <w:jc w:val="center"/>
                    <w:rPr>
                      <w:rFonts w:eastAsia="宋体"/>
                      <w:sz w:val="21"/>
                      <w:szCs w:val="21"/>
                    </w:rPr>
                  </w:pPr>
                  <w:r>
                    <w:rPr>
                      <w:rFonts w:hint="eastAsia" w:ascii="宋体" w:hAnsi="宋体" w:eastAsia="宋体"/>
                      <w:sz w:val="21"/>
                      <w:szCs w:val="21"/>
                    </w:rPr>
                    <w:t xml:space="preserve">检测结果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continue"/>
                </w:tcPr>
                <w:p>
                  <w:pPr>
                    <w:spacing w:line="280" w:lineRule="exact"/>
                    <w:jc w:val="center"/>
                    <w:rPr>
                      <w:rFonts w:ascii="宋体" w:hAnsi="宋体" w:eastAsia="宋体"/>
                      <w:sz w:val="21"/>
                      <w:szCs w:val="21"/>
                    </w:rPr>
                  </w:pPr>
                </w:p>
              </w:tc>
              <w:tc>
                <w:tcPr>
                  <w:tcW w:w="1559" w:type="dxa"/>
                  <w:vMerge w:val="continue"/>
                </w:tcPr>
                <w:p>
                  <w:pPr>
                    <w:spacing w:line="280" w:lineRule="exact"/>
                    <w:jc w:val="center"/>
                    <w:rPr>
                      <w:rFonts w:ascii="宋体" w:hAnsi="宋体" w:eastAsia="宋体"/>
                      <w:sz w:val="21"/>
                      <w:szCs w:val="21"/>
                    </w:rPr>
                  </w:pPr>
                </w:p>
              </w:tc>
              <w:tc>
                <w:tcPr>
                  <w:tcW w:w="1556" w:type="dxa"/>
                  <w:gridSpan w:val="2"/>
                  <w:vAlign w:val="center"/>
                </w:tcPr>
                <w:p>
                  <w:pPr>
                    <w:spacing w:line="280" w:lineRule="exact"/>
                    <w:jc w:val="center"/>
                    <w:rPr>
                      <w:rFonts w:ascii="宋体" w:hAnsi="宋体" w:eastAsia="宋体"/>
                      <w:sz w:val="21"/>
                      <w:szCs w:val="21"/>
                    </w:rPr>
                  </w:pPr>
                  <w:r>
                    <w:rPr>
                      <w:rFonts w:hint="eastAsia" w:ascii="宋体" w:hAnsi="宋体" w:eastAsia="宋体"/>
                      <w:sz w:val="21"/>
                      <w:szCs w:val="21"/>
                    </w:rPr>
                    <w:t>东侧居民5</w:t>
                  </w:r>
                  <w:r>
                    <w:rPr>
                      <w:rFonts w:hint="eastAsia" w:eastAsia="宋体"/>
                      <w:sz w:val="21"/>
                      <w:szCs w:val="21"/>
                    </w:rPr>
                    <w:t>#</w:t>
                  </w:r>
                  <w:r>
                    <w:rPr>
                      <w:rFonts w:hint="eastAsia" w:ascii="宋体" w:hAnsi="宋体" w:eastAsia="宋体"/>
                      <w:sz w:val="21"/>
                      <w:szCs w:val="21"/>
                    </w:rPr>
                    <w:t xml:space="preserve">    </w:t>
                  </w:r>
                </w:p>
              </w:tc>
              <w:tc>
                <w:tcPr>
                  <w:tcW w:w="2100" w:type="dxa"/>
                  <w:gridSpan w:val="3"/>
                  <w:vAlign w:val="center"/>
                </w:tcPr>
                <w:p>
                  <w:pPr>
                    <w:spacing w:line="280" w:lineRule="exact"/>
                    <w:jc w:val="center"/>
                    <w:rPr>
                      <w:rFonts w:ascii="宋体" w:hAnsi="宋体" w:eastAsia="宋体"/>
                      <w:sz w:val="21"/>
                      <w:szCs w:val="21"/>
                    </w:rPr>
                  </w:pPr>
                  <w:r>
                    <w:rPr>
                      <w:rFonts w:hint="eastAsia" w:ascii="宋体" w:hAnsi="宋体" w:eastAsia="宋体"/>
                      <w:sz w:val="21"/>
                      <w:szCs w:val="21"/>
                    </w:rPr>
                    <w:t>西侧居民6</w:t>
                  </w:r>
                  <w:r>
                    <w:rPr>
                      <w:rFonts w:hint="eastAsia" w:eastAsia="宋体"/>
                      <w:sz w:val="21"/>
                      <w:szCs w:val="21"/>
                    </w:rPr>
                    <w:t>#</w:t>
                  </w:r>
                  <w:r>
                    <w:rPr>
                      <w:rFonts w:hint="eastAsia" w:ascii="宋体" w:hAnsi="宋体" w:eastAsia="宋体"/>
                      <w:sz w:val="21"/>
                      <w:szCs w:val="21"/>
                    </w:rPr>
                    <w:t xml:space="preserve"> </w:t>
                  </w:r>
                </w:p>
              </w:tc>
              <w:tc>
                <w:tcPr>
                  <w:tcW w:w="2014" w:type="dxa"/>
                  <w:gridSpan w:val="3"/>
                  <w:vAlign w:val="center"/>
                </w:tcPr>
                <w:p>
                  <w:pPr>
                    <w:spacing w:line="280" w:lineRule="exact"/>
                    <w:jc w:val="center"/>
                    <w:rPr>
                      <w:rFonts w:ascii="宋体" w:hAnsi="宋体" w:eastAsia="宋体"/>
                      <w:sz w:val="21"/>
                      <w:szCs w:val="21"/>
                    </w:rPr>
                  </w:pPr>
                  <w:r>
                    <w:rPr>
                      <w:rFonts w:hint="eastAsia" w:ascii="宋体" w:hAnsi="宋体" w:eastAsia="宋体"/>
                      <w:sz w:val="21"/>
                      <w:szCs w:val="21"/>
                    </w:rPr>
                    <w:t>南侧居民7</w:t>
                  </w:r>
                  <w:r>
                    <w:rPr>
                      <w:rFonts w:hint="eastAsia" w:eastAsia="宋体"/>
                      <w:sz w:val="21"/>
                      <w:szCs w:val="21"/>
                    </w:rPr>
                    <w:t>#</w:t>
                  </w:r>
                  <w:r>
                    <w:rPr>
                      <w:rFonts w:hint="eastAsia" w:ascii="宋体" w:hAnsi="宋体" w:eastAsia="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restart"/>
                  <w:vAlign w:val="center"/>
                </w:tcPr>
                <w:p>
                  <w:pPr>
                    <w:jc w:val="center"/>
                    <w:rPr>
                      <w:rFonts w:eastAsia="宋体"/>
                      <w:sz w:val="21"/>
                      <w:szCs w:val="21"/>
                    </w:rPr>
                  </w:pPr>
                  <w:r>
                    <w:rPr>
                      <w:rFonts w:hint="eastAsia" w:eastAsia="宋体"/>
                      <w:sz w:val="21"/>
                      <w:szCs w:val="21"/>
                    </w:rPr>
                    <w:t>2020.06.14</w:t>
                  </w: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昼间     </w:t>
                  </w:r>
                </w:p>
              </w:tc>
              <w:tc>
                <w:tcPr>
                  <w:tcW w:w="1556" w:type="dxa"/>
                  <w:gridSpan w:val="2"/>
                  <w:vAlign w:val="center"/>
                </w:tcPr>
                <w:p>
                  <w:pPr>
                    <w:spacing w:line="280" w:lineRule="exact"/>
                    <w:jc w:val="center"/>
                    <w:rPr>
                      <w:rFonts w:eastAsia="宋体"/>
                      <w:sz w:val="21"/>
                      <w:szCs w:val="21"/>
                    </w:rPr>
                  </w:pPr>
                  <w:r>
                    <w:rPr>
                      <w:rFonts w:hint="eastAsia" w:eastAsia="宋体"/>
                      <w:sz w:val="21"/>
                      <w:szCs w:val="21"/>
                    </w:rPr>
                    <w:t>50</w:t>
                  </w:r>
                </w:p>
              </w:tc>
              <w:tc>
                <w:tcPr>
                  <w:tcW w:w="2100" w:type="dxa"/>
                  <w:gridSpan w:val="3"/>
                  <w:vAlign w:val="center"/>
                </w:tcPr>
                <w:p>
                  <w:pPr>
                    <w:spacing w:line="280" w:lineRule="exact"/>
                    <w:jc w:val="center"/>
                    <w:rPr>
                      <w:rFonts w:eastAsia="宋体"/>
                      <w:sz w:val="21"/>
                      <w:szCs w:val="21"/>
                    </w:rPr>
                  </w:pPr>
                  <w:r>
                    <w:rPr>
                      <w:rFonts w:hint="eastAsia" w:eastAsia="宋体"/>
                      <w:sz w:val="21"/>
                      <w:szCs w:val="21"/>
                    </w:rPr>
                    <w:t>49</w:t>
                  </w:r>
                </w:p>
              </w:tc>
              <w:tc>
                <w:tcPr>
                  <w:tcW w:w="2014" w:type="dxa"/>
                  <w:gridSpan w:val="3"/>
                  <w:vAlign w:val="center"/>
                </w:tcPr>
                <w:p>
                  <w:pPr>
                    <w:spacing w:line="280" w:lineRule="exact"/>
                    <w:jc w:val="center"/>
                    <w:rPr>
                      <w:rFonts w:eastAsia="宋体"/>
                      <w:sz w:val="21"/>
                      <w:szCs w:val="21"/>
                    </w:rPr>
                  </w:pPr>
                  <w:r>
                    <w:rPr>
                      <w:rFonts w:hint="eastAsia" w:eastAsia="宋体"/>
                      <w:sz w:val="21"/>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continue"/>
                </w:tcPr>
                <w:p>
                  <w:pPr>
                    <w:spacing w:line="280" w:lineRule="exact"/>
                    <w:jc w:val="center"/>
                    <w:rPr>
                      <w:rFonts w:ascii="宋体" w:hAnsi="宋体" w:eastAsia="宋体"/>
                      <w:sz w:val="21"/>
                      <w:szCs w:val="21"/>
                    </w:rPr>
                  </w:pP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夜间     </w:t>
                  </w:r>
                </w:p>
              </w:tc>
              <w:tc>
                <w:tcPr>
                  <w:tcW w:w="1556" w:type="dxa"/>
                  <w:gridSpan w:val="2"/>
                  <w:vAlign w:val="center"/>
                </w:tcPr>
                <w:p>
                  <w:pPr>
                    <w:spacing w:line="280" w:lineRule="exact"/>
                    <w:jc w:val="center"/>
                    <w:rPr>
                      <w:rFonts w:eastAsia="宋体"/>
                      <w:sz w:val="21"/>
                      <w:szCs w:val="21"/>
                    </w:rPr>
                  </w:pPr>
                  <w:r>
                    <w:rPr>
                      <w:rFonts w:hint="eastAsia" w:eastAsia="宋体"/>
                      <w:sz w:val="21"/>
                      <w:szCs w:val="21"/>
                    </w:rPr>
                    <w:t>41</w:t>
                  </w:r>
                </w:p>
              </w:tc>
              <w:tc>
                <w:tcPr>
                  <w:tcW w:w="2100" w:type="dxa"/>
                  <w:gridSpan w:val="3"/>
                  <w:vAlign w:val="center"/>
                </w:tcPr>
                <w:p>
                  <w:pPr>
                    <w:spacing w:line="280" w:lineRule="exact"/>
                    <w:jc w:val="center"/>
                    <w:rPr>
                      <w:rFonts w:eastAsia="宋体"/>
                      <w:sz w:val="21"/>
                      <w:szCs w:val="21"/>
                    </w:rPr>
                  </w:pPr>
                  <w:r>
                    <w:rPr>
                      <w:rFonts w:hint="eastAsia" w:eastAsia="宋体"/>
                      <w:sz w:val="21"/>
                      <w:szCs w:val="21"/>
                    </w:rPr>
                    <w:t>40</w:t>
                  </w:r>
                </w:p>
              </w:tc>
              <w:tc>
                <w:tcPr>
                  <w:tcW w:w="2014" w:type="dxa"/>
                  <w:gridSpan w:val="3"/>
                  <w:vAlign w:val="center"/>
                </w:tcPr>
                <w:p>
                  <w:pPr>
                    <w:spacing w:line="280" w:lineRule="exact"/>
                    <w:jc w:val="center"/>
                    <w:rPr>
                      <w:rFonts w:eastAsia="宋体"/>
                      <w:sz w:val="21"/>
                      <w:szCs w:val="21"/>
                    </w:rPr>
                  </w:pPr>
                  <w:r>
                    <w:rPr>
                      <w:rFonts w:hint="eastAsia" w:eastAsia="宋体"/>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restart"/>
                  <w:vAlign w:val="center"/>
                </w:tcPr>
                <w:p>
                  <w:pPr>
                    <w:jc w:val="center"/>
                    <w:rPr>
                      <w:rFonts w:eastAsia="宋体"/>
                      <w:sz w:val="21"/>
                      <w:szCs w:val="21"/>
                    </w:rPr>
                  </w:pPr>
                  <w:r>
                    <w:rPr>
                      <w:rFonts w:hint="eastAsia" w:eastAsia="宋体"/>
                      <w:sz w:val="21"/>
                      <w:szCs w:val="21"/>
                    </w:rPr>
                    <w:t>2020.06.15</w:t>
                  </w: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昼间     </w:t>
                  </w:r>
                </w:p>
              </w:tc>
              <w:tc>
                <w:tcPr>
                  <w:tcW w:w="1556" w:type="dxa"/>
                  <w:gridSpan w:val="2"/>
                  <w:vAlign w:val="center"/>
                </w:tcPr>
                <w:p>
                  <w:pPr>
                    <w:spacing w:line="280" w:lineRule="exact"/>
                    <w:jc w:val="center"/>
                    <w:rPr>
                      <w:rFonts w:eastAsia="宋体"/>
                      <w:sz w:val="21"/>
                      <w:szCs w:val="21"/>
                    </w:rPr>
                  </w:pPr>
                  <w:r>
                    <w:rPr>
                      <w:rFonts w:hint="eastAsia" w:eastAsia="宋体"/>
                      <w:sz w:val="21"/>
                      <w:szCs w:val="21"/>
                    </w:rPr>
                    <w:t>51</w:t>
                  </w:r>
                </w:p>
              </w:tc>
              <w:tc>
                <w:tcPr>
                  <w:tcW w:w="2100" w:type="dxa"/>
                  <w:gridSpan w:val="3"/>
                  <w:vAlign w:val="center"/>
                </w:tcPr>
                <w:p>
                  <w:pPr>
                    <w:spacing w:line="280" w:lineRule="exact"/>
                    <w:jc w:val="center"/>
                    <w:rPr>
                      <w:rFonts w:eastAsia="宋体"/>
                      <w:sz w:val="21"/>
                      <w:szCs w:val="21"/>
                    </w:rPr>
                  </w:pPr>
                  <w:r>
                    <w:rPr>
                      <w:rFonts w:hint="eastAsia" w:eastAsia="宋体"/>
                      <w:sz w:val="21"/>
                      <w:szCs w:val="21"/>
                    </w:rPr>
                    <w:t>50</w:t>
                  </w:r>
                </w:p>
              </w:tc>
              <w:tc>
                <w:tcPr>
                  <w:tcW w:w="2014" w:type="dxa"/>
                  <w:gridSpan w:val="3"/>
                  <w:vAlign w:val="center"/>
                </w:tcPr>
                <w:p>
                  <w:pPr>
                    <w:spacing w:line="280" w:lineRule="exact"/>
                    <w:jc w:val="center"/>
                    <w:rPr>
                      <w:rFonts w:eastAsia="宋体"/>
                      <w:sz w:val="21"/>
                      <w:szCs w:val="21"/>
                    </w:rPr>
                  </w:pPr>
                  <w:r>
                    <w:rPr>
                      <w:rFonts w:hint="eastAsia" w:eastAsia="宋体"/>
                      <w:sz w:val="21"/>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1271" w:type="dxa"/>
                  <w:vMerge w:val="continue"/>
                </w:tcPr>
                <w:p>
                  <w:pPr>
                    <w:spacing w:line="280" w:lineRule="exact"/>
                    <w:jc w:val="center"/>
                    <w:rPr>
                      <w:rFonts w:ascii="宋体" w:hAnsi="宋体" w:eastAsia="宋体"/>
                      <w:sz w:val="21"/>
                      <w:szCs w:val="21"/>
                    </w:rPr>
                  </w:pPr>
                </w:p>
              </w:tc>
              <w:tc>
                <w:tcPr>
                  <w:tcW w:w="1559" w:type="dxa"/>
                  <w:vAlign w:val="center"/>
                </w:tcPr>
                <w:p>
                  <w:pPr>
                    <w:spacing w:line="280" w:lineRule="exact"/>
                    <w:jc w:val="center"/>
                    <w:rPr>
                      <w:rFonts w:ascii="宋体" w:hAnsi="宋体" w:eastAsia="宋体"/>
                      <w:sz w:val="21"/>
                      <w:szCs w:val="21"/>
                    </w:rPr>
                  </w:pPr>
                  <w:r>
                    <w:rPr>
                      <w:rFonts w:hint="eastAsia" w:ascii="宋体" w:hAnsi="宋体" w:eastAsia="宋体"/>
                      <w:sz w:val="21"/>
                      <w:szCs w:val="21"/>
                    </w:rPr>
                    <w:t xml:space="preserve">夜间     </w:t>
                  </w:r>
                </w:p>
              </w:tc>
              <w:tc>
                <w:tcPr>
                  <w:tcW w:w="1556" w:type="dxa"/>
                  <w:gridSpan w:val="2"/>
                  <w:vAlign w:val="center"/>
                </w:tcPr>
                <w:p>
                  <w:pPr>
                    <w:spacing w:line="280" w:lineRule="exact"/>
                    <w:jc w:val="center"/>
                    <w:rPr>
                      <w:rFonts w:eastAsia="宋体"/>
                      <w:sz w:val="21"/>
                      <w:szCs w:val="21"/>
                    </w:rPr>
                  </w:pPr>
                  <w:r>
                    <w:rPr>
                      <w:rFonts w:hint="eastAsia" w:eastAsia="宋体"/>
                      <w:sz w:val="21"/>
                      <w:szCs w:val="21"/>
                    </w:rPr>
                    <w:t>40</w:t>
                  </w:r>
                </w:p>
              </w:tc>
              <w:tc>
                <w:tcPr>
                  <w:tcW w:w="2100" w:type="dxa"/>
                  <w:gridSpan w:val="3"/>
                  <w:vAlign w:val="center"/>
                </w:tcPr>
                <w:p>
                  <w:pPr>
                    <w:spacing w:line="280" w:lineRule="exact"/>
                    <w:jc w:val="center"/>
                    <w:rPr>
                      <w:rFonts w:eastAsia="宋体"/>
                      <w:sz w:val="21"/>
                      <w:szCs w:val="21"/>
                    </w:rPr>
                  </w:pPr>
                  <w:r>
                    <w:rPr>
                      <w:rFonts w:hint="eastAsia" w:eastAsia="宋体"/>
                      <w:sz w:val="21"/>
                      <w:szCs w:val="21"/>
                    </w:rPr>
                    <w:t>40</w:t>
                  </w:r>
                </w:p>
              </w:tc>
              <w:tc>
                <w:tcPr>
                  <w:tcW w:w="2014" w:type="dxa"/>
                  <w:gridSpan w:val="3"/>
                  <w:vAlign w:val="center"/>
                </w:tcPr>
                <w:p>
                  <w:pPr>
                    <w:spacing w:line="280" w:lineRule="exact"/>
                    <w:jc w:val="center"/>
                    <w:rPr>
                      <w:rFonts w:eastAsia="宋体"/>
                      <w:sz w:val="21"/>
                      <w:szCs w:val="21"/>
                    </w:rPr>
                  </w:pPr>
                  <w:r>
                    <w:rPr>
                      <w:rFonts w:hint="eastAsia" w:eastAsia="宋体"/>
                      <w:sz w:val="21"/>
                      <w:szCs w:val="21"/>
                    </w:rPr>
                    <w:t>40</w:t>
                  </w:r>
                </w:p>
              </w:tc>
            </w:tr>
          </w:tbl>
          <w:p>
            <w:pPr>
              <w:pStyle w:val="36"/>
              <w:spacing w:before="144" w:beforeLines="30" w:line="360" w:lineRule="auto"/>
              <w:ind w:firstLine="480"/>
              <w:rPr>
                <w:kern w:val="0"/>
                <w:szCs w:val="24"/>
              </w:rPr>
            </w:pPr>
            <w:r>
              <w:rPr>
                <w:kern w:val="0"/>
                <w:szCs w:val="24"/>
              </w:rPr>
              <w:t>由监测结果可知，项目</w:t>
            </w:r>
            <w:r>
              <w:rPr>
                <w:rFonts w:hint="eastAsia"/>
                <w:kern w:val="0"/>
                <w:szCs w:val="24"/>
              </w:rPr>
              <w:t>四周厂</w:t>
            </w:r>
            <w:r>
              <w:rPr>
                <w:kern w:val="0"/>
                <w:szCs w:val="24"/>
              </w:rPr>
              <w:t>界</w:t>
            </w:r>
            <w:r>
              <w:rPr>
                <w:rFonts w:hint="eastAsia"/>
                <w:kern w:val="0"/>
                <w:szCs w:val="24"/>
              </w:rPr>
              <w:t>声</w:t>
            </w:r>
            <w:r>
              <w:rPr>
                <w:kern w:val="0"/>
                <w:szCs w:val="24"/>
              </w:rPr>
              <w:t>环境</w:t>
            </w:r>
            <w:r>
              <w:rPr>
                <w:rFonts w:hint="eastAsia"/>
                <w:kern w:val="0"/>
                <w:szCs w:val="24"/>
              </w:rPr>
              <w:t>均</w:t>
            </w:r>
            <w:r>
              <w:rPr>
                <w:kern w:val="0"/>
                <w:szCs w:val="24"/>
              </w:rPr>
              <w:t>能够满足《声环境质量标准》</w:t>
            </w:r>
            <w:r>
              <w:rPr>
                <w:rFonts w:hint="eastAsia"/>
                <w:kern w:val="0"/>
                <w:szCs w:val="24"/>
              </w:rPr>
              <w:t>（</w:t>
            </w:r>
            <w:r>
              <w:rPr>
                <w:kern w:val="0"/>
                <w:szCs w:val="24"/>
              </w:rPr>
              <w:t>GB3096-2008</w:t>
            </w:r>
            <w:r>
              <w:rPr>
                <w:rFonts w:hint="eastAsia"/>
                <w:kern w:val="0"/>
                <w:szCs w:val="24"/>
              </w:rPr>
              <w:t>）</w:t>
            </w:r>
            <w:r>
              <w:rPr>
                <w:kern w:val="0"/>
                <w:szCs w:val="24"/>
              </w:rPr>
              <w:t>中1类标准要求</w:t>
            </w:r>
            <w:r>
              <w:rPr>
                <w:rFonts w:hint="eastAsia"/>
                <w:kern w:val="0"/>
                <w:szCs w:val="24"/>
              </w:rPr>
              <w:t>，表明</w:t>
            </w:r>
            <w:r>
              <w:rPr>
                <w:kern w:val="0"/>
                <w:szCs w:val="24"/>
              </w:rPr>
              <w:t>项目所在地声环境质量较好</w:t>
            </w:r>
            <w:r>
              <w:rPr>
                <w:rFonts w:hint="eastAsia"/>
                <w:kern w:val="0"/>
                <w:szCs w:val="24"/>
              </w:rPr>
              <w:t>。</w:t>
            </w:r>
          </w:p>
          <w:p>
            <w:pPr>
              <w:pStyle w:val="36"/>
              <w:spacing w:before="144" w:beforeLines="30" w:line="360" w:lineRule="auto"/>
              <w:ind w:firstLine="480"/>
              <w:rPr>
                <w:color w:val="FF0000"/>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8" w:hRule="atLeast"/>
        </w:trPr>
        <w:tc>
          <w:tcPr>
            <w:tcW w:w="9178" w:type="dxa"/>
          </w:tcPr>
          <w:p>
            <w:pPr>
              <w:pStyle w:val="36"/>
              <w:spacing w:line="360" w:lineRule="auto"/>
              <w:ind w:firstLine="0" w:firstLineChars="0"/>
              <w:rPr>
                <w:rFonts w:ascii="宋体" w:hAnsi="宋体"/>
                <w:b/>
              </w:rPr>
            </w:pPr>
            <w:r>
              <w:rPr>
                <w:rFonts w:ascii="宋体" w:hAnsi="宋体"/>
                <w:b/>
              </w:rPr>
              <w:t>主要环境保护目标（列出名单及保护级别）：</w:t>
            </w:r>
          </w:p>
          <w:p>
            <w:pPr>
              <w:pStyle w:val="36"/>
              <w:spacing w:line="360" w:lineRule="auto"/>
              <w:ind w:firstLine="480"/>
              <w:rPr>
                <w:kern w:val="0"/>
                <w:szCs w:val="24"/>
                <w:lang w:bidi="en-US"/>
              </w:rPr>
            </w:pPr>
            <w:r>
              <w:rPr>
                <w:szCs w:val="24"/>
              </w:rPr>
              <w:t>本次评价区域内没有自然保护区、人文古迹等人文景点，因此确定受该项目影响的主要保护目标名单及保护级别见</w:t>
            </w:r>
            <w:r>
              <w:rPr>
                <w:rFonts w:hint="eastAsia"/>
                <w:szCs w:val="24"/>
              </w:rPr>
              <w:t>下表</w:t>
            </w:r>
            <w:r>
              <w:rPr>
                <w:szCs w:val="24"/>
              </w:rPr>
              <w:t>。</w:t>
            </w:r>
          </w:p>
          <w:p>
            <w:pPr>
              <w:pStyle w:val="36"/>
              <w:spacing w:line="360" w:lineRule="auto"/>
              <w:ind w:firstLine="480"/>
              <w:jc w:val="center"/>
              <w:rPr>
                <w:szCs w:val="24"/>
              </w:rPr>
            </w:pPr>
            <w:r>
              <w:rPr>
                <w:rFonts w:hint="eastAsia"/>
                <w:szCs w:val="24"/>
              </w:rPr>
              <w:t>表</w:t>
            </w:r>
            <w:r>
              <w:rPr>
                <w:szCs w:val="24"/>
              </w:rPr>
              <w:t xml:space="preserve">3-4  </w:t>
            </w:r>
            <w:r>
              <w:rPr>
                <w:rFonts w:hint="eastAsia"/>
                <w:szCs w:val="24"/>
              </w:rPr>
              <w:t>建设项目环境保护目标</w:t>
            </w:r>
          </w:p>
          <w:tbl>
            <w:tblPr>
              <w:tblStyle w:val="25"/>
              <w:tblW w:w="8080" w:type="dxa"/>
              <w:jc w:val="center"/>
              <w:tblBorders>
                <w:top w:val="double" w:color="auto" w:sz="4" w:space="0"/>
                <w:left w:val="none" w:color="auto" w:sz="0" w:space="0"/>
                <w:bottom w:val="double" w:color="auto" w:sz="4"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917"/>
              <w:gridCol w:w="1134"/>
              <w:gridCol w:w="643"/>
              <w:gridCol w:w="1417"/>
              <w:gridCol w:w="1135"/>
              <w:gridCol w:w="1134"/>
              <w:gridCol w:w="1700"/>
            </w:tblGrid>
            <w:tr>
              <w:tblPrEx>
                <w:tblBorders>
                  <w:top w:val="double" w:color="auto" w:sz="4" w:space="0"/>
                  <w:left w:val="none" w:color="auto" w:sz="0" w:space="0"/>
                  <w:bottom w:val="double" w:color="auto"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17"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环境</w:t>
                  </w:r>
                </w:p>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要素</w:t>
                  </w:r>
                </w:p>
              </w:tc>
              <w:tc>
                <w:tcPr>
                  <w:tcW w:w="1134"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环境保护敏感目标</w:t>
                  </w:r>
                </w:p>
              </w:tc>
              <w:tc>
                <w:tcPr>
                  <w:tcW w:w="643"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功能性质</w:t>
                  </w:r>
                </w:p>
              </w:tc>
              <w:tc>
                <w:tcPr>
                  <w:tcW w:w="1417"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规模</w:t>
                  </w:r>
                </w:p>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（户/人口）</w:t>
                  </w:r>
                </w:p>
              </w:tc>
              <w:tc>
                <w:tcPr>
                  <w:tcW w:w="1135"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方位</w:t>
                  </w:r>
                </w:p>
              </w:tc>
              <w:tc>
                <w:tcPr>
                  <w:tcW w:w="1134"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距项目区边界距离m</w:t>
                  </w:r>
                </w:p>
              </w:tc>
              <w:tc>
                <w:tcPr>
                  <w:tcW w:w="1700"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保护级别</w:t>
                  </w:r>
                </w:p>
              </w:tc>
            </w:tr>
            <w:tr>
              <w:tblPrEx>
                <w:tblBorders>
                  <w:top w:val="double" w:color="auto" w:sz="4" w:space="0"/>
                  <w:left w:val="none" w:color="auto" w:sz="0" w:space="0"/>
                  <w:bottom w:val="double" w:color="auto" w:sz="4"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17"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napToGrid w:val="0"/>
                      <w:kern w:val="18"/>
                      <w:sz w:val="21"/>
                    </w:rPr>
                    <w:t>声环境</w:t>
                  </w:r>
                </w:p>
              </w:tc>
              <w:tc>
                <w:tcPr>
                  <w:tcW w:w="1134"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北三道</w:t>
                  </w:r>
                  <w:r>
                    <w:rPr>
                      <w:rFonts w:cs="宋体" w:asciiTheme="minorEastAsia" w:hAnsiTheme="minorEastAsia" w:eastAsiaTheme="minorEastAsia"/>
                      <w:sz w:val="21"/>
                    </w:rPr>
                    <w:t>壕村</w:t>
                  </w:r>
                </w:p>
              </w:tc>
              <w:tc>
                <w:tcPr>
                  <w:tcW w:w="643"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居民点</w:t>
                  </w:r>
                </w:p>
              </w:tc>
              <w:tc>
                <w:tcPr>
                  <w:tcW w:w="1417" w:type="dxa"/>
                  <w:vAlign w:val="center"/>
                </w:tcPr>
                <w:p>
                  <w:pPr>
                    <w:pStyle w:val="105"/>
                    <w:spacing w:line="240" w:lineRule="exact"/>
                    <w:rPr>
                      <w:rFonts w:cs="宋体" w:asciiTheme="minorEastAsia" w:hAnsiTheme="minorEastAsia" w:eastAsiaTheme="minorEastAsia"/>
                      <w:sz w:val="21"/>
                    </w:rPr>
                  </w:pPr>
                  <w:r>
                    <w:rPr>
                      <w:rFonts w:cs="宋体" w:asciiTheme="minorEastAsia" w:hAnsiTheme="minorEastAsia" w:eastAsiaTheme="minorEastAsia"/>
                      <w:sz w:val="21"/>
                    </w:rPr>
                    <w:t>72</w:t>
                  </w:r>
                  <w:r>
                    <w:rPr>
                      <w:rFonts w:hint="eastAsia" w:cs="宋体" w:asciiTheme="minorEastAsia" w:hAnsiTheme="minorEastAsia" w:eastAsiaTheme="minorEastAsia"/>
                      <w:sz w:val="21"/>
                    </w:rPr>
                    <w:t>/</w:t>
                  </w:r>
                  <w:r>
                    <w:rPr>
                      <w:rFonts w:cs="宋体" w:asciiTheme="minorEastAsia" w:hAnsiTheme="minorEastAsia" w:eastAsiaTheme="minorEastAsia"/>
                      <w:sz w:val="21"/>
                    </w:rPr>
                    <w:t>216</w:t>
                  </w:r>
                </w:p>
              </w:tc>
              <w:tc>
                <w:tcPr>
                  <w:tcW w:w="1135" w:type="dxa"/>
                  <w:vAlign w:val="center"/>
                </w:tcPr>
                <w:p>
                  <w:pPr>
                    <w:pStyle w:val="105"/>
                    <w:spacing w:line="240" w:lineRule="exact"/>
                    <w:rPr>
                      <w:rFonts w:cs="宋体" w:asciiTheme="minorEastAsia" w:hAnsiTheme="minorEastAsia" w:eastAsiaTheme="minorEastAsia"/>
                      <w:sz w:val="21"/>
                    </w:rPr>
                  </w:pPr>
                  <w:r>
                    <w:rPr>
                      <w:rFonts w:hint="eastAsia" w:cs="宋体" w:asciiTheme="minorEastAsia" w:hAnsiTheme="minorEastAsia" w:eastAsiaTheme="minorEastAsia"/>
                      <w:sz w:val="21"/>
                    </w:rPr>
                    <w:t>S、</w:t>
                  </w:r>
                  <w:r>
                    <w:rPr>
                      <w:rFonts w:cs="宋体" w:asciiTheme="minorEastAsia" w:hAnsiTheme="minorEastAsia" w:eastAsiaTheme="minorEastAsia"/>
                      <w:sz w:val="21"/>
                    </w:rPr>
                    <w:t>W</w:t>
                  </w:r>
                  <w:r>
                    <w:rPr>
                      <w:rFonts w:hint="eastAsia" w:cs="宋体" w:asciiTheme="minorEastAsia" w:hAnsiTheme="minorEastAsia" w:eastAsiaTheme="minorEastAsia"/>
                      <w:sz w:val="21"/>
                    </w:rPr>
                    <w:t>、</w:t>
                  </w:r>
                  <w:r>
                    <w:rPr>
                      <w:rFonts w:cs="宋体" w:asciiTheme="minorEastAsia" w:hAnsiTheme="minorEastAsia" w:eastAsiaTheme="minorEastAsia"/>
                      <w:sz w:val="21"/>
                    </w:rPr>
                    <w:t>E</w:t>
                  </w:r>
                </w:p>
              </w:tc>
              <w:tc>
                <w:tcPr>
                  <w:tcW w:w="1134" w:type="dxa"/>
                  <w:vAlign w:val="center"/>
                </w:tcPr>
                <w:p>
                  <w:pPr>
                    <w:pStyle w:val="105"/>
                    <w:spacing w:line="240" w:lineRule="exact"/>
                    <w:rPr>
                      <w:rFonts w:cs="宋体" w:asciiTheme="minorEastAsia" w:hAnsiTheme="minorEastAsia" w:eastAsiaTheme="minorEastAsia"/>
                      <w:sz w:val="21"/>
                    </w:rPr>
                  </w:pPr>
                  <w:r>
                    <w:rPr>
                      <w:rFonts w:cs="宋体" w:asciiTheme="minorEastAsia" w:hAnsiTheme="minorEastAsia" w:eastAsiaTheme="minorEastAsia"/>
                      <w:sz w:val="21"/>
                    </w:rPr>
                    <w:t>8</w:t>
                  </w:r>
                </w:p>
              </w:tc>
              <w:tc>
                <w:tcPr>
                  <w:tcW w:w="1700" w:type="dxa"/>
                  <w:vAlign w:val="center"/>
                </w:tcPr>
                <w:p>
                  <w:pPr>
                    <w:pStyle w:val="105"/>
                    <w:spacing w:line="240" w:lineRule="exact"/>
                    <w:rPr>
                      <w:rFonts w:cs="宋体" w:asciiTheme="minorEastAsia" w:hAnsiTheme="minorEastAsia" w:eastAsiaTheme="minorEastAsia"/>
                      <w:bCs/>
                      <w:sz w:val="21"/>
                    </w:rPr>
                  </w:pPr>
                  <w:r>
                    <w:rPr>
                      <w:rFonts w:hint="eastAsia" w:cs="宋体" w:asciiTheme="minorEastAsia" w:hAnsiTheme="minorEastAsia" w:eastAsiaTheme="minorEastAsia"/>
                      <w:snapToGrid w:val="0"/>
                      <w:kern w:val="18"/>
                      <w:sz w:val="21"/>
                    </w:rPr>
                    <w:t>《声</w:t>
                  </w:r>
                  <w:r>
                    <w:rPr>
                      <w:rFonts w:hint="eastAsia" w:cs="微软雅黑" w:asciiTheme="minorEastAsia" w:hAnsiTheme="minorEastAsia" w:eastAsiaTheme="minorEastAsia"/>
                      <w:snapToGrid w:val="0"/>
                      <w:kern w:val="18"/>
                      <w:sz w:val="21"/>
                    </w:rPr>
                    <w:t>环</w:t>
                  </w:r>
                  <w:r>
                    <w:rPr>
                      <w:rFonts w:hint="eastAsia" w:cs="Meiryo" w:asciiTheme="minorEastAsia" w:hAnsiTheme="minorEastAsia" w:eastAsiaTheme="minorEastAsia"/>
                      <w:snapToGrid w:val="0"/>
                      <w:kern w:val="18"/>
                      <w:sz w:val="21"/>
                    </w:rPr>
                    <w:t>境</w:t>
                  </w:r>
                  <w:r>
                    <w:rPr>
                      <w:rFonts w:hint="eastAsia" w:cs="微软雅黑" w:asciiTheme="minorEastAsia" w:hAnsiTheme="minorEastAsia" w:eastAsiaTheme="minorEastAsia"/>
                      <w:snapToGrid w:val="0"/>
                      <w:kern w:val="18"/>
                      <w:sz w:val="21"/>
                    </w:rPr>
                    <w:t>质</w:t>
                  </w:r>
                  <w:r>
                    <w:rPr>
                      <w:rFonts w:hint="eastAsia" w:cs="Meiryo" w:asciiTheme="minorEastAsia" w:hAnsiTheme="minorEastAsia" w:eastAsiaTheme="minorEastAsia"/>
                      <w:snapToGrid w:val="0"/>
                      <w:kern w:val="18"/>
                      <w:sz w:val="21"/>
                    </w:rPr>
                    <w:t>量</w:t>
                  </w:r>
                  <w:r>
                    <w:rPr>
                      <w:rFonts w:hint="eastAsia" w:cs="微软雅黑" w:asciiTheme="minorEastAsia" w:hAnsiTheme="minorEastAsia" w:eastAsiaTheme="minorEastAsia"/>
                      <w:snapToGrid w:val="0"/>
                      <w:kern w:val="18"/>
                      <w:sz w:val="21"/>
                    </w:rPr>
                    <w:t>标</w:t>
                  </w:r>
                  <w:r>
                    <w:rPr>
                      <w:rFonts w:hint="eastAsia" w:cs="Meiryo" w:asciiTheme="minorEastAsia" w:hAnsiTheme="minorEastAsia" w:eastAsiaTheme="minorEastAsia"/>
                      <w:snapToGrid w:val="0"/>
                      <w:kern w:val="18"/>
                      <w:sz w:val="21"/>
                    </w:rPr>
                    <w:t>准》</w:t>
                  </w:r>
                  <w:r>
                    <w:rPr>
                      <w:rFonts w:hint="eastAsia" w:cs="宋体" w:asciiTheme="minorEastAsia" w:hAnsiTheme="minorEastAsia" w:eastAsiaTheme="minorEastAsia"/>
                      <w:snapToGrid w:val="0"/>
                      <w:kern w:val="18"/>
                      <w:sz w:val="21"/>
                    </w:rPr>
                    <w:t>(GB3096-2008)</w:t>
                  </w:r>
                  <w:r>
                    <w:rPr>
                      <w:rFonts w:cs="宋体" w:asciiTheme="minorEastAsia" w:hAnsiTheme="minorEastAsia" w:eastAsiaTheme="minorEastAsia"/>
                      <w:snapToGrid w:val="0"/>
                      <w:kern w:val="18"/>
                      <w:sz w:val="21"/>
                    </w:rPr>
                    <w:t>2</w:t>
                  </w:r>
                  <w:r>
                    <w:rPr>
                      <w:rFonts w:hint="eastAsia" w:cs="宋体" w:asciiTheme="minorEastAsia" w:hAnsiTheme="minorEastAsia" w:eastAsiaTheme="minorEastAsia"/>
                      <w:snapToGrid w:val="0"/>
                      <w:kern w:val="18"/>
                      <w:sz w:val="21"/>
                    </w:rPr>
                    <w:t>类</w:t>
                  </w:r>
                  <w:r>
                    <w:rPr>
                      <w:rFonts w:hint="eastAsia" w:cs="微软雅黑" w:asciiTheme="minorEastAsia" w:hAnsiTheme="minorEastAsia" w:eastAsiaTheme="minorEastAsia"/>
                      <w:snapToGrid w:val="0"/>
                      <w:kern w:val="18"/>
                      <w:sz w:val="21"/>
                    </w:rPr>
                    <w:t>标</w:t>
                  </w:r>
                  <w:r>
                    <w:rPr>
                      <w:rFonts w:hint="eastAsia" w:cs="Meiryo" w:asciiTheme="minorEastAsia" w:hAnsiTheme="minorEastAsia" w:eastAsiaTheme="minorEastAsia"/>
                      <w:snapToGrid w:val="0"/>
                      <w:kern w:val="18"/>
                      <w:sz w:val="21"/>
                    </w:rPr>
                    <w:t>准</w:t>
                  </w:r>
                </w:p>
              </w:tc>
            </w:tr>
          </w:tbl>
          <w:p>
            <w:pPr>
              <w:pStyle w:val="36"/>
              <w:spacing w:line="240" w:lineRule="auto"/>
              <w:ind w:firstLine="0" w:firstLineChars="0"/>
              <w:rPr>
                <w:rFonts w:ascii="宋体" w:hAnsi="宋体"/>
                <w:color w:val="FF0000"/>
              </w:rPr>
            </w:pPr>
          </w:p>
        </w:tc>
      </w:tr>
    </w:tbl>
    <w:p>
      <w:pPr>
        <w:rPr>
          <w:rFonts w:ascii="宋体" w:hAnsi="宋体" w:eastAsia="宋体"/>
          <w:b/>
          <w:color w:val="FF0000"/>
          <w:sz w:val="24"/>
          <w:szCs w:val="24"/>
        </w:rPr>
        <w:sectPr>
          <w:pgSz w:w="11906" w:h="16838"/>
          <w:pgMar w:top="1701" w:right="1701" w:bottom="1843" w:left="1701" w:header="851" w:footer="992" w:gutter="0"/>
          <w:cols w:space="720" w:num="1"/>
          <w:docGrid w:type="lines" w:linePitch="480" w:charSpace="0"/>
        </w:sectPr>
      </w:pPr>
    </w:p>
    <w:p>
      <w:pPr>
        <w:rPr>
          <w:rFonts w:ascii="宋体" w:hAnsi="宋体" w:eastAsia="宋体"/>
          <w:b/>
          <w:sz w:val="24"/>
          <w:szCs w:val="24"/>
        </w:rPr>
      </w:pPr>
      <w:r>
        <w:rPr>
          <w:rFonts w:ascii="宋体" w:hAnsi="宋体" w:eastAsia="宋体"/>
          <w:b/>
          <w:sz w:val="24"/>
          <w:szCs w:val="24"/>
        </w:rPr>
        <w:t>评价适用标准</w:t>
      </w:r>
    </w:p>
    <w:tbl>
      <w:tblPr>
        <w:tblStyle w:val="25"/>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58" w:hRule="atLeast"/>
        </w:trPr>
        <w:tc>
          <w:tcPr>
            <w:tcW w:w="828" w:type="dxa"/>
            <w:vAlign w:val="center"/>
          </w:tcPr>
          <w:p>
            <w:pPr>
              <w:jc w:val="center"/>
              <w:rPr>
                <w:rFonts w:ascii="宋体" w:hAnsi="宋体" w:eastAsia="宋体"/>
                <w:b/>
                <w:sz w:val="24"/>
                <w:szCs w:val="24"/>
              </w:rPr>
            </w:pPr>
            <w:r>
              <w:rPr>
                <w:rFonts w:ascii="宋体" w:hAnsi="宋体" w:eastAsia="宋体"/>
                <w:b/>
                <w:sz w:val="24"/>
                <w:szCs w:val="24"/>
              </w:rPr>
              <w:t>环</w:t>
            </w:r>
          </w:p>
          <w:p>
            <w:pPr>
              <w:jc w:val="center"/>
              <w:rPr>
                <w:rFonts w:ascii="宋体" w:hAnsi="宋体" w:eastAsia="宋体"/>
                <w:b/>
                <w:sz w:val="24"/>
                <w:szCs w:val="24"/>
              </w:rPr>
            </w:pPr>
            <w:r>
              <w:rPr>
                <w:rFonts w:ascii="宋体" w:hAnsi="宋体" w:eastAsia="宋体"/>
                <w:b/>
                <w:sz w:val="24"/>
                <w:szCs w:val="24"/>
              </w:rPr>
              <w:t>境</w:t>
            </w:r>
          </w:p>
          <w:p>
            <w:pPr>
              <w:jc w:val="center"/>
              <w:rPr>
                <w:rFonts w:ascii="宋体" w:hAnsi="宋体" w:eastAsia="宋体"/>
                <w:b/>
                <w:sz w:val="24"/>
                <w:szCs w:val="24"/>
              </w:rPr>
            </w:pPr>
            <w:r>
              <w:rPr>
                <w:rFonts w:ascii="宋体" w:hAnsi="宋体" w:eastAsia="宋体"/>
                <w:b/>
                <w:sz w:val="24"/>
                <w:szCs w:val="24"/>
              </w:rPr>
              <w:t>质</w:t>
            </w:r>
          </w:p>
          <w:p>
            <w:pPr>
              <w:jc w:val="center"/>
              <w:rPr>
                <w:rFonts w:ascii="宋体" w:hAnsi="宋体" w:eastAsia="宋体"/>
                <w:b/>
                <w:sz w:val="24"/>
                <w:szCs w:val="24"/>
              </w:rPr>
            </w:pPr>
            <w:r>
              <w:rPr>
                <w:rFonts w:ascii="宋体" w:hAnsi="宋体" w:eastAsia="宋体"/>
                <w:b/>
                <w:sz w:val="24"/>
                <w:szCs w:val="24"/>
              </w:rPr>
              <w:t>量</w:t>
            </w:r>
          </w:p>
          <w:p>
            <w:pPr>
              <w:jc w:val="center"/>
              <w:rPr>
                <w:rFonts w:ascii="宋体" w:hAnsi="宋体" w:eastAsia="宋体"/>
                <w:b/>
                <w:sz w:val="24"/>
                <w:szCs w:val="24"/>
              </w:rPr>
            </w:pPr>
            <w:r>
              <w:rPr>
                <w:rFonts w:ascii="宋体" w:hAnsi="宋体" w:eastAsia="宋体"/>
                <w:b/>
                <w:sz w:val="24"/>
                <w:szCs w:val="24"/>
              </w:rPr>
              <w:t>标</w:t>
            </w:r>
          </w:p>
          <w:p>
            <w:pPr>
              <w:jc w:val="center"/>
              <w:rPr>
                <w:rFonts w:ascii="宋体" w:hAnsi="宋体" w:eastAsia="宋体"/>
                <w:color w:val="FF0000"/>
              </w:rPr>
            </w:pPr>
            <w:r>
              <w:rPr>
                <w:rFonts w:ascii="宋体" w:hAnsi="宋体" w:eastAsia="宋体"/>
                <w:b/>
                <w:sz w:val="24"/>
                <w:szCs w:val="24"/>
              </w:rPr>
              <w:t>准</w:t>
            </w:r>
          </w:p>
        </w:tc>
        <w:tc>
          <w:tcPr>
            <w:tcW w:w="8100" w:type="dxa"/>
          </w:tcPr>
          <w:p>
            <w:pPr>
              <w:pStyle w:val="36"/>
              <w:spacing w:line="360" w:lineRule="auto"/>
              <w:ind w:firstLine="482"/>
              <w:rPr>
                <w:b/>
              </w:rPr>
            </w:pPr>
            <w:r>
              <w:rPr>
                <w:b/>
              </w:rPr>
              <w:t>1.大气环境</w:t>
            </w:r>
          </w:p>
          <w:p>
            <w:pPr>
              <w:pStyle w:val="36"/>
              <w:spacing w:line="360" w:lineRule="auto"/>
              <w:ind w:firstLine="480"/>
            </w:pPr>
            <w:r>
              <w:rPr>
                <w:rFonts w:hint="eastAsia"/>
              </w:rPr>
              <w:t>根据锦州市环境空气质量功能区划，本项目所在地区SO</w:t>
            </w:r>
            <w:r>
              <w:rPr>
                <w:rFonts w:hint="eastAsia"/>
                <w:vertAlign w:val="subscript"/>
              </w:rPr>
              <w:t>2</w:t>
            </w:r>
            <w:r>
              <w:rPr>
                <w:rFonts w:hint="eastAsia"/>
              </w:rPr>
              <w:t>、NO</w:t>
            </w:r>
            <w:r>
              <w:rPr>
                <w:rFonts w:hint="eastAsia"/>
                <w:vertAlign w:val="subscript"/>
              </w:rPr>
              <w:t>2</w:t>
            </w:r>
            <w:r>
              <w:rPr>
                <w:rFonts w:hint="eastAsia"/>
              </w:rPr>
              <w:t>、PM</w:t>
            </w:r>
            <w:r>
              <w:rPr>
                <w:rFonts w:hint="eastAsia"/>
                <w:vertAlign w:val="subscript"/>
              </w:rPr>
              <w:t>10</w:t>
            </w:r>
            <w:r>
              <w:rPr>
                <w:rFonts w:hint="eastAsia"/>
              </w:rPr>
              <w:t>、PM</w:t>
            </w:r>
            <w:r>
              <w:rPr>
                <w:rFonts w:hint="eastAsia"/>
                <w:vertAlign w:val="subscript"/>
              </w:rPr>
              <w:t>2.5</w:t>
            </w:r>
            <w:r>
              <w:rPr>
                <w:rFonts w:hint="eastAsia"/>
              </w:rPr>
              <w:t>、CO、O</w:t>
            </w:r>
            <w:r>
              <w:rPr>
                <w:rFonts w:hint="eastAsia"/>
                <w:vertAlign w:val="subscript"/>
              </w:rPr>
              <w:t>3</w:t>
            </w:r>
            <w:r>
              <w:rPr>
                <w:rFonts w:hint="eastAsia"/>
              </w:rPr>
              <w:t>执行</w:t>
            </w:r>
            <w:r>
              <w:t>《环境空气质量标准》</w:t>
            </w:r>
            <w:r>
              <w:rPr>
                <w:bCs/>
              </w:rPr>
              <w:t>（GB3095-2012）</w:t>
            </w:r>
            <w:r>
              <w:t>中</w:t>
            </w:r>
            <w:r>
              <w:rPr>
                <w:kern w:val="0"/>
              </w:rPr>
              <w:t>二</w:t>
            </w:r>
            <w:r>
              <w:t>级标准，具体见表</w:t>
            </w:r>
            <w:r>
              <w:rPr>
                <w:rFonts w:hint="eastAsia"/>
              </w:rPr>
              <w:t>1</w:t>
            </w:r>
            <w:r>
              <w:t>7</w:t>
            </w:r>
            <w:r>
              <w:rPr>
                <w:rFonts w:hint="eastAsia"/>
              </w:rPr>
              <w:t>；</w:t>
            </w:r>
            <w:r>
              <w:rPr>
                <w:rFonts w:hint="eastAsia"/>
                <w:szCs w:val="24"/>
              </w:rPr>
              <w:t>非甲烷总烃参照执行国家环境保护局科技标准司颁布的《大气污染物综合排放标准详解》中的规定，见表</w:t>
            </w:r>
            <w:r>
              <w:rPr>
                <w:szCs w:val="24"/>
              </w:rPr>
              <w:t>4-1</w:t>
            </w:r>
            <w:r>
              <w:rPr>
                <w:rFonts w:hint="eastAsia"/>
                <w:szCs w:val="24"/>
              </w:rPr>
              <w:t>，4-2。</w:t>
            </w:r>
          </w:p>
          <w:p>
            <w:pPr>
              <w:snapToGrid w:val="0"/>
              <w:jc w:val="center"/>
              <w:rPr>
                <w:rFonts w:eastAsia="宋体"/>
                <w:sz w:val="21"/>
                <w:szCs w:val="21"/>
              </w:rPr>
            </w:pPr>
            <w:r>
              <w:rPr>
                <w:rFonts w:eastAsia="宋体"/>
                <w:b/>
                <w:bCs/>
                <w:sz w:val="21"/>
                <w:szCs w:val="21"/>
              </w:rPr>
              <w:t>表4-1      环境空气质量二级标准</w:t>
            </w:r>
            <w:r>
              <w:rPr>
                <w:rFonts w:hint="eastAsia" w:eastAsia="宋体"/>
                <w:b/>
                <w:bCs/>
                <w:sz w:val="21"/>
                <w:szCs w:val="21"/>
              </w:rPr>
              <w:t xml:space="preserve"> </w:t>
            </w:r>
            <w:r>
              <w:rPr>
                <w:rFonts w:eastAsia="宋体"/>
                <w:b/>
                <w:sz w:val="21"/>
                <w:szCs w:val="21"/>
              </w:rPr>
              <w:t>单位：µg/m</w:t>
            </w:r>
            <w:r>
              <w:rPr>
                <w:rFonts w:eastAsia="宋体"/>
                <w:b/>
                <w:sz w:val="21"/>
                <w:szCs w:val="21"/>
                <w:vertAlign w:val="superscript"/>
              </w:rPr>
              <w:t>3</w:t>
            </w:r>
          </w:p>
          <w:tbl>
            <w:tblPr>
              <w:tblStyle w:val="25"/>
              <w:tblW w:w="7241"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316"/>
              <w:gridCol w:w="1715"/>
              <w:gridCol w:w="1472"/>
              <w:gridCol w:w="173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6" w:hRule="exact"/>
                <w:jc w:val="center"/>
              </w:trPr>
              <w:tc>
                <w:tcPr>
                  <w:tcW w:w="2316" w:type="dxa"/>
                  <w:vMerge w:val="restart"/>
                  <w:vAlign w:val="center"/>
                </w:tcPr>
                <w:p>
                  <w:pPr>
                    <w:pStyle w:val="7"/>
                    <w:snapToGrid w:val="0"/>
                    <w:spacing w:line="240" w:lineRule="auto"/>
                    <w:ind w:firstLine="0" w:firstLineChars="0"/>
                    <w:jc w:val="center"/>
                    <w:rPr>
                      <w:color w:val="auto"/>
                      <w:sz w:val="21"/>
                      <w:szCs w:val="21"/>
                    </w:rPr>
                  </w:pPr>
                  <w:r>
                    <w:rPr>
                      <w:rFonts w:hint="eastAsia"/>
                      <w:color w:val="auto"/>
                      <w:sz w:val="21"/>
                      <w:szCs w:val="21"/>
                    </w:rPr>
                    <w:t>污染因子</w:t>
                  </w:r>
                </w:p>
              </w:tc>
              <w:tc>
                <w:tcPr>
                  <w:tcW w:w="4925" w:type="dxa"/>
                  <w:gridSpan w:val="3"/>
                  <w:vAlign w:val="center"/>
                </w:tcPr>
                <w:p>
                  <w:pPr>
                    <w:pStyle w:val="7"/>
                    <w:snapToGrid w:val="0"/>
                    <w:spacing w:line="240" w:lineRule="auto"/>
                    <w:ind w:firstLine="0" w:firstLineChars="0"/>
                    <w:jc w:val="center"/>
                    <w:rPr>
                      <w:color w:val="auto"/>
                      <w:sz w:val="21"/>
                      <w:szCs w:val="21"/>
                    </w:rPr>
                  </w:pPr>
                  <w:r>
                    <w:rPr>
                      <w:rFonts w:hint="eastAsia"/>
                      <w:color w:val="auto"/>
                      <w:sz w:val="21"/>
                      <w:szCs w:val="21"/>
                    </w:rPr>
                    <w:t>标准值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2" w:hRule="exact"/>
                <w:jc w:val="center"/>
              </w:trPr>
              <w:tc>
                <w:tcPr>
                  <w:tcW w:w="2316" w:type="dxa"/>
                  <w:vMerge w:val="continue"/>
                  <w:vAlign w:val="center"/>
                </w:tcPr>
                <w:p>
                  <w:pPr>
                    <w:pStyle w:val="7"/>
                    <w:snapToGrid w:val="0"/>
                    <w:spacing w:line="240" w:lineRule="auto"/>
                    <w:ind w:firstLine="420"/>
                    <w:jc w:val="center"/>
                    <w:rPr>
                      <w:color w:val="auto"/>
                      <w:sz w:val="21"/>
                      <w:szCs w:val="21"/>
                    </w:rPr>
                  </w:pPr>
                </w:p>
              </w:tc>
              <w:tc>
                <w:tcPr>
                  <w:tcW w:w="1715" w:type="dxa"/>
                  <w:vAlign w:val="center"/>
                </w:tcPr>
                <w:p>
                  <w:pPr>
                    <w:pStyle w:val="7"/>
                    <w:snapToGrid w:val="0"/>
                    <w:spacing w:line="240" w:lineRule="auto"/>
                    <w:ind w:firstLine="0" w:firstLineChars="0"/>
                    <w:jc w:val="center"/>
                    <w:rPr>
                      <w:color w:val="auto"/>
                      <w:sz w:val="21"/>
                      <w:szCs w:val="21"/>
                    </w:rPr>
                  </w:pPr>
                  <w:r>
                    <w:rPr>
                      <w:color w:val="auto"/>
                      <w:sz w:val="21"/>
                      <w:szCs w:val="21"/>
                    </w:rPr>
                    <w:t>1</w:t>
                  </w:r>
                  <w:r>
                    <w:rPr>
                      <w:rFonts w:hint="eastAsia"/>
                      <w:color w:val="auto"/>
                      <w:sz w:val="21"/>
                      <w:szCs w:val="21"/>
                    </w:rPr>
                    <w:t>小时平均</w:t>
                  </w:r>
                </w:p>
              </w:tc>
              <w:tc>
                <w:tcPr>
                  <w:tcW w:w="1472" w:type="dxa"/>
                  <w:vAlign w:val="center"/>
                </w:tcPr>
                <w:p>
                  <w:pPr>
                    <w:pStyle w:val="7"/>
                    <w:snapToGrid w:val="0"/>
                    <w:spacing w:line="240" w:lineRule="auto"/>
                    <w:ind w:firstLine="0" w:firstLineChars="0"/>
                    <w:jc w:val="center"/>
                    <w:rPr>
                      <w:color w:val="auto"/>
                      <w:sz w:val="21"/>
                      <w:szCs w:val="21"/>
                    </w:rPr>
                  </w:pPr>
                  <w:r>
                    <w:rPr>
                      <w:rFonts w:hint="eastAsia"/>
                      <w:color w:val="auto"/>
                      <w:sz w:val="21"/>
                      <w:szCs w:val="21"/>
                    </w:rPr>
                    <w:t>8小时平均</w:t>
                  </w:r>
                </w:p>
              </w:tc>
              <w:tc>
                <w:tcPr>
                  <w:tcW w:w="1738" w:type="dxa"/>
                  <w:vAlign w:val="center"/>
                </w:tcPr>
                <w:p>
                  <w:pPr>
                    <w:pStyle w:val="7"/>
                    <w:snapToGrid w:val="0"/>
                    <w:spacing w:line="240" w:lineRule="auto"/>
                    <w:ind w:firstLine="0" w:firstLineChars="0"/>
                    <w:jc w:val="center"/>
                    <w:rPr>
                      <w:color w:val="auto"/>
                      <w:sz w:val="21"/>
                      <w:szCs w:val="21"/>
                    </w:rPr>
                  </w:pPr>
                  <w:r>
                    <w:rPr>
                      <w:color w:val="auto"/>
                      <w:sz w:val="21"/>
                      <w:szCs w:val="21"/>
                    </w:rPr>
                    <w:t>24</w:t>
                  </w:r>
                  <w:r>
                    <w:rPr>
                      <w:rFonts w:hint="eastAsia"/>
                      <w:color w:val="auto"/>
                      <w:sz w:val="21"/>
                      <w:szCs w:val="21"/>
                    </w:rPr>
                    <w:t>小时平均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1" w:hRule="exact"/>
                <w:jc w:val="center"/>
              </w:trPr>
              <w:tc>
                <w:tcPr>
                  <w:tcW w:w="2316" w:type="dxa"/>
                  <w:vAlign w:val="center"/>
                </w:tcPr>
                <w:p>
                  <w:pPr>
                    <w:pStyle w:val="7"/>
                    <w:snapToGrid w:val="0"/>
                    <w:spacing w:line="240" w:lineRule="auto"/>
                    <w:ind w:firstLine="0" w:firstLineChars="0"/>
                    <w:jc w:val="center"/>
                    <w:rPr>
                      <w:color w:val="auto"/>
                      <w:sz w:val="21"/>
                      <w:szCs w:val="21"/>
                    </w:rPr>
                  </w:pPr>
                  <w:r>
                    <w:rPr>
                      <w:color w:val="auto"/>
                      <w:sz w:val="21"/>
                      <w:szCs w:val="21"/>
                    </w:rPr>
                    <w:t>SO</w:t>
                  </w:r>
                  <w:r>
                    <w:rPr>
                      <w:color w:val="auto"/>
                      <w:sz w:val="21"/>
                      <w:szCs w:val="21"/>
                      <w:vertAlign w:val="subscript"/>
                    </w:rPr>
                    <w:t>2</w:t>
                  </w:r>
                </w:p>
              </w:tc>
              <w:tc>
                <w:tcPr>
                  <w:tcW w:w="1715" w:type="dxa"/>
                  <w:vAlign w:val="center"/>
                </w:tcPr>
                <w:p>
                  <w:pPr>
                    <w:pStyle w:val="7"/>
                    <w:snapToGrid w:val="0"/>
                    <w:spacing w:line="240" w:lineRule="auto"/>
                    <w:ind w:firstLine="0" w:firstLineChars="0"/>
                    <w:jc w:val="center"/>
                    <w:rPr>
                      <w:color w:val="auto"/>
                      <w:sz w:val="21"/>
                      <w:szCs w:val="21"/>
                    </w:rPr>
                  </w:pPr>
                  <w:r>
                    <w:rPr>
                      <w:color w:val="auto"/>
                      <w:sz w:val="21"/>
                      <w:szCs w:val="21"/>
                    </w:rPr>
                    <w:t>500</w:t>
                  </w:r>
                </w:p>
              </w:tc>
              <w:tc>
                <w:tcPr>
                  <w:tcW w:w="1472" w:type="dxa"/>
                  <w:vAlign w:val="center"/>
                </w:tcPr>
                <w:p>
                  <w:pPr>
                    <w:pStyle w:val="7"/>
                    <w:snapToGrid w:val="0"/>
                    <w:spacing w:line="240" w:lineRule="auto"/>
                    <w:ind w:firstLine="0" w:firstLineChars="0"/>
                    <w:jc w:val="center"/>
                    <w:rPr>
                      <w:color w:val="auto"/>
                      <w:sz w:val="21"/>
                      <w:szCs w:val="21"/>
                    </w:rPr>
                  </w:pPr>
                  <w:r>
                    <w:rPr>
                      <w:sz w:val="21"/>
                      <w:szCs w:val="21"/>
                    </w:rPr>
                    <w:t>--</w:t>
                  </w:r>
                </w:p>
              </w:tc>
              <w:tc>
                <w:tcPr>
                  <w:tcW w:w="1738" w:type="dxa"/>
                  <w:vAlign w:val="center"/>
                </w:tcPr>
                <w:p>
                  <w:pPr>
                    <w:pStyle w:val="7"/>
                    <w:snapToGrid w:val="0"/>
                    <w:spacing w:line="240" w:lineRule="auto"/>
                    <w:ind w:firstLine="0" w:firstLineChars="0"/>
                    <w:jc w:val="center"/>
                    <w:rPr>
                      <w:color w:val="auto"/>
                      <w:sz w:val="21"/>
                      <w:szCs w:val="21"/>
                    </w:rPr>
                  </w:pPr>
                  <w:r>
                    <w:rPr>
                      <w:color w:val="auto"/>
                      <w:sz w:val="21"/>
                      <w:szCs w:val="21"/>
                    </w:rPr>
                    <w:t>150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0" w:hRule="exact"/>
                <w:jc w:val="center"/>
              </w:trPr>
              <w:tc>
                <w:tcPr>
                  <w:tcW w:w="2316" w:type="dxa"/>
                  <w:vAlign w:val="center"/>
                </w:tcPr>
                <w:p>
                  <w:pPr>
                    <w:pStyle w:val="7"/>
                    <w:snapToGrid w:val="0"/>
                    <w:spacing w:line="240" w:lineRule="auto"/>
                    <w:ind w:firstLine="0" w:firstLineChars="0"/>
                    <w:jc w:val="center"/>
                    <w:rPr>
                      <w:color w:val="auto"/>
                      <w:sz w:val="21"/>
                      <w:szCs w:val="21"/>
                    </w:rPr>
                  </w:pPr>
                  <w:r>
                    <w:rPr>
                      <w:color w:val="auto"/>
                      <w:sz w:val="21"/>
                      <w:szCs w:val="21"/>
                    </w:rPr>
                    <w:t>NO</w:t>
                  </w:r>
                  <w:r>
                    <w:rPr>
                      <w:color w:val="auto"/>
                      <w:sz w:val="21"/>
                      <w:szCs w:val="21"/>
                      <w:vertAlign w:val="subscript"/>
                    </w:rPr>
                    <w:t>2</w:t>
                  </w:r>
                </w:p>
              </w:tc>
              <w:tc>
                <w:tcPr>
                  <w:tcW w:w="1715" w:type="dxa"/>
                  <w:vAlign w:val="center"/>
                </w:tcPr>
                <w:p>
                  <w:pPr>
                    <w:pStyle w:val="7"/>
                    <w:snapToGrid w:val="0"/>
                    <w:spacing w:line="240" w:lineRule="auto"/>
                    <w:ind w:firstLine="0" w:firstLineChars="0"/>
                    <w:jc w:val="center"/>
                    <w:rPr>
                      <w:color w:val="auto"/>
                      <w:sz w:val="21"/>
                      <w:szCs w:val="21"/>
                    </w:rPr>
                  </w:pPr>
                  <w:r>
                    <w:rPr>
                      <w:color w:val="auto"/>
                      <w:sz w:val="21"/>
                      <w:szCs w:val="21"/>
                    </w:rPr>
                    <w:t>200</w:t>
                  </w:r>
                </w:p>
              </w:tc>
              <w:tc>
                <w:tcPr>
                  <w:tcW w:w="1472" w:type="dxa"/>
                  <w:vAlign w:val="center"/>
                </w:tcPr>
                <w:p>
                  <w:pPr>
                    <w:pStyle w:val="7"/>
                    <w:snapToGrid w:val="0"/>
                    <w:spacing w:line="240" w:lineRule="auto"/>
                    <w:ind w:firstLine="0" w:firstLineChars="0"/>
                    <w:jc w:val="center"/>
                    <w:rPr>
                      <w:color w:val="auto"/>
                      <w:sz w:val="21"/>
                      <w:szCs w:val="21"/>
                    </w:rPr>
                  </w:pPr>
                  <w:r>
                    <w:rPr>
                      <w:sz w:val="21"/>
                      <w:szCs w:val="21"/>
                    </w:rPr>
                    <w:t>--</w:t>
                  </w:r>
                </w:p>
              </w:tc>
              <w:tc>
                <w:tcPr>
                  <w:tcW w:w="1738" w:type="dxa"/>
                  <w:vAlign w:val="center"/>
                </w:tcPr>
                <w:p>
                  <w:pPr>
                    <w:pStyle w:val="7"/>
                    <w:snapToGrid w:val="0"/>
                    <w:spacing w:line="240" w:lineRule="auto"/>
                    <w:ind w:firstLine="0" w:firstLineChars="0"/>
                    <w:jc w:val="center"/>
                    <w:rPr>
                      <w:color w:val="auto"/>
                      <w:sz w:val="21"/>
                      <w:szCs w:val="21"/>
                    </w:rPr>
                  </w:pPr>
                  <w:r>
                    <w:rPr>
                      <w:color w:val="auto"/>
                      <w:sz w:val="21"/>
                      <w:szCs w:val="21"/>
                    </w:rPr>
                    <w:t>80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9" w:hRule="exact"/>
                <w:jc w:val="center"/>
              </w:trPr>
              <w:tc>
                <w:tcPr>
                  <w:tcW w:w="2316" w:type="dxa"/>
                  <w:vAlign w:val="center"/>
                </w:tcPr>
                <w:p>
                  <w:pPr>
                    <w:pStyle w:val="7"/>
                    <w:snapToGrid w:val="0"/>
                    <w:spacing w:line="240" w:lineRule="auto"/>
                    <w:ind w:firstLine="0" w:firstLineChars="0"/>
                    <w:jc w:val="center"/>
                    <w:rPr>
                      <w:color w:val="auto"/>
                      <w:sz w:val="21"/>
                      <w:szCs w:val="21"/>
                    </w:rPr>
                  </w:pPr>
                  <w:r>
                    <w:rPr>
                      <w:color w:val="auto"/>
                      <w:sz w:val="21"/>
                      <w:szCs w:val="21"/>
                    </w:rPr>
                    <w:t>PM</w:t>
                  </w:r>
                  <w:r>
                    <w:rPr>
                      <w:color w:val="auto"/>
                      <w:sz w:val="21"/>
                      <w:szCs w:val="21"/>
                      <w:vertAlign w:val="subscript"/>
                    </w:rPr>
                    <w:t>10</w:t>
                  </w:r>
                </w:p>
              </w:tc>
              <w:tc>
                <w:tcPr>
                  <w:tcW w:w="1715" w:type="dxa"/>
                  <w:vAlign w:val="center"/>
                </w:tcPr>
                <w:p>
                  <w:pPr>
                    <w:snapToGrid w:val="0"/>
                    <w:jc w:val="center"/>
                    <w:rPr>
                      <w:sz w:val="21"/>
                      <w:szCs w:val="21"/>
                    </w:rPr>
                  </w:pPr>
                  <w:r>
                    <w:rPr>
                      <w:sz w:val="21"/>
                      <w:szCs w:val="21"/>
                    </w:rPr>
                    <w:t>--</w:t>
                  </w:r>
                </w:p>
              </w:tc>
              <w:tc>
                <w:tcPr>
                  <w:tcW w:w="1472" w:type="dxa"/>
                  <w:vAlign w:val="center"/>
                </w:tcPr>
                <w:p>
                  <w:pPr>
                    <w:snapToGrid w:val="0"/>
                    <w:jc w:val="center"/>
                    <w:rPr>
                      <w:sz w:val="21"/>
                      <w:szCs w:val="21"/>
                    </w:rPr>
                  </w:pPr>
                  <w:r>
                    <w:rPr>
                      <w:sz w:val="21"/>
                      <w:szCs w:val="21"/>
                    </w:rPr>
                    <w:t>--</w:t>
                  </w:r>
                </w:p>
              </w:tc>
              <w:tc>
                <w:tcPr>
                  <w:tcW w:w="1738" w:type="dxa"/>
                  <w:vAlign w:val="center"/>
                </w:tcPr>
                <w:p>
                  <w:pPr>
                    <w:pStyle w:val="7"/>
                    <w:snapToGrid w:val="0"/>
                    <w:spacing w:line="240" w:lineRule="auto"/>
                    <w:ind w:firstLine="0" w:firstLineChars="0"/>
                    <w:jc w:val="center"/>
                    <w:rPr>
                      <w:color w:val="auto"/>
                      <w:sz w:val="21"/>
                      <w:szCs w:val="21"/>
                    </w:rPr>
                  </w:pPr>
                  <w:r>
                    <w:rPr>
                      <w:color w:val="auto"/>
                      <w:sz w:val="21"/>
                      <w:szCs w:val="21"/>
                    </w:rPr>
                    <w:t>150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9" w:hRule="exact"/>
                <w:jc w:val="center"/>
              </w:trPr>
              <w:tc>
                <w:tcPr>
                  <w:tcW w:w="2316" w:type="dxa"/>
                  <w:vAlign w:val="center"/>
                </w:tcPr>
                <w:p>
                  <w:pPr>
                    <w:pStyle w:val="7"/>
                    <w:snapToGrid w:val="0"/>
                    <w:spacing w:line="240" w:lineRule="auto"/>
                    <w:ind w:firstLine="0" w:firstLineChars="0"/>
                    <w:jc w:val="center"/>
                    <w:rPr>
                      <w:color w:val="auto"/>
                      <w:sz w:val="21"/>
                      <w:szCs w:val="21"/>
                    </w:rPr>
                  </w:pPr>
                  <w:r>
                    <w:rPr>
                      <w:rFonts w:hint="eastAsia"/>
                      <w:color w:val="auto"/>
                      <w:sz w:val="21"/>
                      <w:szCs w:val="21"/>
                    </w:rPr>
                    <w:t>PM</w:t>
                  </w:r>
                  <w:r>
                    <w:rPr>
                      <w:rFonts w:hint="eastAsia"/>
                      <w:color w:val="auto"/>
                      <w:sz w:val="21"/>
                      <w:szCs w:val="21"/>
                      <w:vertAlign w:val="subscript"/>
                    </w:rPr>
                    <w:t>2.5</w:t>
                  </w:r>
                </w:p>
              </w:tc>
              <w:tc>
                <w:tcPr>
                  <w:tcW w:w="1715" w:type="dxa"/>
                  <w:vAlign w:val="center"/>
                </w:tcPr>
                <w:p>
                  <w:pPr>
                    <w:snapToGrid w:val="0"/>
                    <w:jc w:val="center"/>
                    <w:rPr>
                      <w:sz w:val="21"/>
                      <w:szCs w:val="21"/>
                    </w:rPr>
                  </w:pPr>
                  <w:r>
                    <w:rPr>
                      <w:sz w:val="21"/>
                      <w:szCs w:val="21"/>
                    </w:rPr>
                    <w:t>--</w:t>
                  </w:r>
                </w:p>
              </w:tc>
              <w:tc>
                <w:tcPr>
                  <w:tcW w:w="1472" w:type="dxa"/>
                  <w:vAlign w:val="center"/>
                </w:tcPr>
                <w:p>
                  <w:pPr>
                    <w:snapToGrid w:val="0"/>
                    <w:jc w:val="center"/>
                    <w:rPr>
                      <w:sz w:val="21"/>
                      <w:szCs w:val="21"/>
                    </w:rPr>
                  </w:pPr>
                  <w:r>
                    <w:rPr>
                      <w:sz w:val="21"/>
                      <w:szCs w:val="21"/>
                    </w:rPr>
                    <w:t>--</w:t>
                  </w:r>
                </w:p>
              </w:tc>
              <w:tc>
                <w:tcPr>
                  <w:tcW w:w="1738" w:type="dxa"/>
                  <w:vAlign w:val="center"/>
                </w:tcPr>
                <w:p>
                  <w:pPr>
                    <w:pStyle w:val="7"/>
                    <w:snapToGrid w:val="0"/>
                    <w:spacing w:line="240" w:lineRule="auto"/>
                    <w:ind w:firstLine="0" w:firstLineChars="0"/>
                    <w:jc w:val="center"/>
                    <w:rPr>
                      <w:color w:val="auto"/>
                      <w:sz w:val="21"/>
                      <w:szCs w:val="21"/>
                    </w:rPr>
                  </w:pPr>
                  <w:r>
                    <w:rPr>
                      <w:rFonts w:hint="eastAsia"/>
                      <w:color w:val="auto"/>
                      <w:sz w:val="21"/>
                      <w:szCs w:val="21"/>
                    </w:rPr>
                    <w:t>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9" w:hRule="exact"/>
                <w:jc w:val="center"/>
              </w:trPr>
              <w:tc>
                <w:tcPr>
                  <w:tcW w:w="2316" w:type="dxa"/>
                  <w:vAlign w:val="center"/>
                </w:tcPr>
                <w:p>
                  <w:pPr>
                    <w:pStyle w:val="7"/>
                    <w:snapToGrid w:val="0"/>
                    <w:spacing w:line="240" w:lineRule="auto"/>
                    <w:ind w:firstLine="0" w:firstLineChars="0"/>
                    <w:jc w:val="center"/>
                    <w:rPr>
                      <w:color w:val="auto"/>
                      <w:sz w:val="21"/>
                      <w:szCs w:val="21"/>
                    </w:rPr>
                  </w:pPr>
                  <w:r>
                    <w:rPr>
                      <w:rFonts w:hint="eastAsia"/>
                      <w:color w:val="auto"/>
                      <w:sz w:val="21"/>
                      <w:szCs w:val="21"/>
                    </w:rPr>
                    <w:t>O</w:t>
                  </w:r>
                  <w:r>
                    <w:rPr>
                      <w:rFonts w:hint="eastAsia"/>
                      <w:color w:val="auto"/>
                      <w:sz w:val="21"/>
                      <w:szCs w:val="21"/>
                      <w:vertAlign w:val="subscript"/>
                    </w:rPr>
                    <w:t>3</w:t>
                  </w:r>
                </w:p>
              </w:tc>
              <w:tc>
                <w:tcPr>
                  <w:tcW w:w="1715" w:type="dxa"/>
                  <w:vAlign w:val="center"/>
                </w:tcPr>
                <w:p>
                  <w:pPr>
                    <w:snapToGrid w:val="0"/>
                    <w:jc w:val="center"/>
                    <w:rPr>
                      <w:rFonts w:eastAsia="宋体"/>
                      <w:sz w:val="21"/>
                      <w:szCs w:val="21"/>
                    </w:rPr>
                  </w:pPr>
                  <w:r>
                    <w:rPr>
                      <w:rFonts w:hint="eastAsia"/>
                      <w:sz w:val="21"/>
                      <w:szCs w:val="21"/>
                    </w:rPr>
                    <w:t>200</w:t>
                  </w:r>
                </w:p>
              </w:tc>
              <w:tc>
                <w:tcPr>
                  <w:tcW w:w="1472" w:type="dxa"/>
                  <w:vAlign w:val="center"/>
                </w:tcPr>
                <w:p>
                  <w:pPr>
                    <w:snapToGrid w:val="0"/>
                    <w:jc w:val="center"/>
                    <w:rPr>
                      <w:rFonts w:eastAsia="宋体"/>
                      <w:sz w:val="21"/>
                      <w:szCs w:val="21"/>
                    </w:rPr>
                  </w:pPr>
                  <w:r>
                    <w:rPr>
                      <w:rFonts w:hint="eastAsia"/>
                      <w:sz w:val="21"/>
                      <w:szCs w:val="21"/>
                    </w:rPr>
                    <w:t>160</w:t>
                  </w:r>
                </w:p>
              </w:tc>
              <w:tc>
                <w:tcPr>
                  <w:tcW w:w="1738" w:type="dxa"/>
                  <w:vAlign w:val="center"/>
                </w:tcPr>
                <w:p>
                  <w:pPr>
                    <w:pStyle w:val="7"/>
                    <w:snapToGrid w:val="0"/>
                    <w:spacing w:line="240" w:lineRule="auto"/>
                    <w:ind w:firstLine="0" w:firstLineChars="0"/>
                    <w:jc w:val="center"/>
                    <w:rPr>
                      <w:color w:val="auto"/>
                      <w:sz w:val="21"/>
                      <w:szCs w:val="21"/>
                    </w:rPr>
                  </w:pPr>
                  <w:r>
                    <w:rPr>
                      <w:sz w:val="21"/>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9" w:hRule="exact"/>
                <w:jc w:val="center"/>
              </w:trPr>
              <w:tc>
                <w:tcPr>
                  <w:tcW w:w="2316" w:type="dxa"/>
                  <w:vAlign w:val="center"/>
                </w:tcPr>
                <w:p>
                  <w:pPr>
                    <w:pStyle w:val="7"/>
                    <w:snapToGrid w:val="0"/>
                    <w:spacing w:line="240" w:lineRule="auto"/>
                    <w:ind w:firstLine="0" w:firstLineChars="0"/>
                    <w:jc w:val="center"/>
                    <w:rPr>
                      <w:color w:val="auto"/>
                      <w:sz w:val="21"/>
                      <w:szCs w:val="21"/>
                    </w:rPr>
                  </w:pPr>
                  <w:r>
                    <w:rPr>
                      <w:rFonts w:hint="eastAsia"/>
                      <w:color w:val="auto"/>
                      <w:sz w:val="21"/>
                      <w:szCs w:val="21"/>
                    </w:rPr>
                    <w:t>CO（mg/m</w:t>
                  </w:r>
                  <w:r>
                    <w:rPr>
                      <w:rFonts w:hint="eastAsia"/>
                      <w:color w:val="auto"/>
                      <w:sz w:val="21"/>
                      <w:szCs w:val="21"/>
                      <w:vertAlign w:val="superscript"/>
                    </w:rPr>
                    <w:t>3</w:t>
                  </w:r>
                  <w:r>
                    <w:rPr>
                      <w:rFonts w:hint="eastAsia"/>
                      <w:color w:val="auto"/>
                      <w:sz w:val="21"/>
                      <w:szCs w:val="21"/>
                    </w:rPr>
                    <w:t>）</w:t>
                  </w:r>
                </w:p>
              </w:tc>
              <w:tc>
                <w:tcPr>
                  <w:tcW w:w="1715" w:type="dxa"/>
                  <w:vAlign w:val="center"/>
                </w:tcPr>
                <w:p>
                  <w:pPr>
                    <w:snapToGrid w:val="0"/>
                    <w:jc w:val="center"/>
                    <w:rPr>
                      <w:rFonts w:eastAsia="宋体"/>
                      <w:sz w:val="21"/>
                      <w:szCs w:val="21"/>
                    </w:rPr>
                  </w:pPr>
                  <w:r>
                    <w:rPr>
                      <w:rFonts w:hint="eastAsia"/>
                      <w:sz w:val="21"/>
                      <w:szCs w:val="21"/>
                    </w:rPr>
                    <w:t>10</w:t>
                  </w:r>
                </w:p>
              </w:tc>
              <w:tc>
                <w:tcPr>
                  <w:tcW w:w="1472" w:type="dxa"/>
                  <w:vAlign w:val="center"/>
                </w:tcPr>
                <w:p>
                  <w:pPr>
                    <w:snapToGrid w:val="0"/>
                    <w:jc w:val="center"/>
                    <w:rPr>
                      <w:sz w:val="21"/>
                      <w:szCs w:val="21"/>
                    </w:rPr>
                  </w:pPr>
                  <w:r>
                    <w:rPr>
                      <w:sz w:val="21"/>
                      <w:szCs w:val="21"/>
                    </w:rPr>
                    <w:t>--</w:t>
                  </w:r>
                </w:p>
              </w:tc>
              <w:tc>
                <w:tcPr>
                  <w:tcW w:w="1738" w:type="dxa"/>
                  <w:vAlign w:val="center"/>
                </w:tcPr>
                <w:p>
                  <w:pPr>
                    <w:pStyle w:val="7"/>
                    <w:snapToGrid w:val="0"/>
                    <w:spacing w:line="240" w:lineRule="auto"/>
                    <w:ind w:firstLine="0" w:firstLineChars="0"/>
                    <w:jc w:val="center"/>
                    <w:rPr>
                      <w:color w:val="auto"/>
                      <w:sz w:val="21"/>
                      <w:szCs w:val="21"/>
                    </w:rPr>
                  </w:pPr>
                  <w:r>
                    <w:rPr>
                      <w:rFonts w:hint="eastAsia"/>
                      <w:color w:val="auto"/>
                      <w:sz w:val="21"/>
                      <w:szCs w:val="21"/>
                    </w:rPr>
                    <w:t>4</w:t>
                  </w:r>
                </w:p>
              </w:tc>
            </w:tr>
          </w:tbl>
          <w:p>
            <w:pPr>
              <w:snapToGrid w:val="0"/>
              <w:spacing w:before="144" w:beforeLines="30"/>
              <w:jc w:val="center"/>
              <w:rPr>
                <w:rFonts w:ascii="黑体" w:hAnsi="黑体" w:eastAsia="黑体" w:cs="黑体"/>
                <w:b/>
                <w:sz w:val="21"/>
                <w:szCs w:val="21"/>
              </w:rPr>
            </w:pPr>
            <w:r>
              <w:rPr>
                <w:rFonts w:hint="eastAsia" w:ascii="黑体" w:hAnsi="黑体" w:eastAsia="黑体" w:cs="黑体"/>
                <w:b/>
                <w:sz w:val="21"/>
                <w:szCs w:val="21"/>
              </w:rPr>
              <w:t>表</w:t>
            </w:r>
            <w:r>
              <w:rPr>
                <w:rFonts w:ascii="黑体" w:hAnsi="黑体" w:eastAsia="黑体" w:cs="黑体"/>
                <w:b/>
                <w:sz w:val="21"/>
                <w:szCs w:val="21"/>
              </w:rPr>
              <w:t xml:space="preserve">4-2      </w:t>
            </w:r>
            <w:r>
              <w:rPr>
                <w:rFonts w:hint="eastAsia" w:ascii="黑体" w:hAnsi="黑体" w:eastAsia="黑体" w:cs="黑体"/>
                <w:b/>
                <w:sz w:val="21"/>
                <w:szCs w:val="21"/>
              </w:rPr>
              <w:t>大气污染物综合排放标准详解单位：mg/m</w:t>
            </w:r>
            <w:r>
              <w:rPr>
                <w:rFonts w:hint="eastAsia" w:ascii="黑体" w:hAnsi="黑体" w:eastAsia="黑体" w:cs="黑体"/>
                <w:b/>
                <w:sz w:val="21"/>
                <w:szCs w:val="21"/>
                <w:vertAlign w:val="superscript"/>
              </w:rPr>
              <w:t>3</w:t>
            </w:r>
          </w:p>
          <w:tbl>
            <w:tblPr>
              <w:tblStyle w:val="25"/>
              <w:tblW w:w="7520" w:type="dxa"/>
              <w:jc w:val="center"/>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1861"/>
              <w:gridCol w:w="2829"/>
              <w:gridCol w:w="2830"/>
            </w:tblGrid>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jc w:val="center"/>
              </w:trPr>
              <w:tc>
                <w:tcPr>
                  <w:tcW w:w="1861" w:type="dxa"/>
                  <w:vAlign w:val="center"/>
                </w:tcPr>
                <w:p>
                  <w:pPr>
                    <w:adjustRightInd w:val="0"/>
                    <w:snapToGrid w:val="0"/>
                    <w:jc w:val="center"/>
                    <w:rPr>
                      <w:rFonts w:eastAsia="宋体"/>
                      <w:sz w:val="21"/>
                      <w:szCs w:val="21"/>
                    </w:rPr>
                  </w:pPr>
                  <w:r>
                    <w:rPr>
                      <w:rFonts w:eastAsia="宋体"/>
                      <w:sz w:val="21"/>
                      <w:szCs w:val="21"/>
                    </w:rPr>
                    <w:t>污染物</w:t>
                  </w:r>
                </w:p>
              </w:tc>
              <w:tc>
                <w:tcPr>
                  <w:tcW w:w="2829" w:type="dxa"/>
                  <w:vAlign w:val="center"/>
                </w:tcPr>
                <w:p>
                  <w:pPr>
                    <w:adjustRightInd w:val="0"/>
                    <w:snapToGrid w:val="0"/>
                    <w:jc w:val="center"/>
                    <w:rPr>
                      <w:rFonts w:eastAsia="宋体"/>
                      <w:sz w:val="21"/>
                      <w:szCs w:val="21"/>
                    </w:rPr>
                  </w:pPr>
                  <w:r>
                    <w:rPr>
                      <w:rFonts w:eastAsia="宋体"/>
                      <w:sz w:val="21"/>
                      <w:szCs w:val="21"/>
                    </w:rPr>
                    <w:t>取值时间</w:t>
                  </w:r>
                </w:p>
              </w:tc>
              <w:tc>
                <w:tcPr>
                  <w:tcW w:w="2830" w:type="dxa"/>
                  <w:vAlign w:val="center"/>
                </w:tcPr>
                <w:p>
                  <w:pPr>
                    <w:adjustRightInd w:val="0"/>
                    <w:snapToGrid w:val="0"/>
                    <w:jc w:val="center"/>
                    <w:rPr>
                      <w:rFonts w:eastAsia="宋体"/>
                      <w:sz w:val="21"/>
                      <w:szCs w:val="21"/>
                    </w:rPr>
                  </w:pPr>
                  <w:r>
                    <w:rPr>
                      <w:rFonts w:eastAsia="宋体"/>
                      <w:sz w:val="21"/>
                      <w:szCs w:val="21"/>
                    </w:rPr>
                    <w:t>标准值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jc w:val="center"/>
              </w:trPr>
              <w:tc>
                <w:tcPr>
                  <w:tcW w:w="1861" w:type="dxa"/>
                  <w:vAlign w:val="center"/>
                </w:tcPr>
                <w:p>
                  <w:pPr>
                    <w:adjustRightInd w:val="0"/>
                    <w:snapToGrid w:val="0"/>
                    <w:jc w:val="center"/>
                    <w:rPr>
                      <w:rFonts w:eastAsia="宋体"/>
                      <w:sz w:val="21"/>
                      <w:szCs w:val="21"/>
                    </w:rPr>
                  </w:pPr>
                  <w:r>
                    <w:rPr>
                      <w:rFonts w:eastAsia="宋体"/>
                      <w:sz w:val="21"/>
                      <w:szCs w:val="21"/>
                    </w:rPr>
                    <w:t>非甲烷总烃</w:t>
                  </w:r>
                </w:p>
              </w:tc>
              <w:tc>
                <w:tcPr>
                  <w:tcW w:w="2829" w:type="dxa"/>
                  <w:vAlign w:val="center"/>
                </w:tcPr>
                <w:p>
                  <w:pPr>
                    <w:adjustRightInd w:val="0"/>
                    <w:snapToGrid w:val="0"/>
                    <w:jc w:val="center"/>
                    <w:rPr>
                      <w:rFonts w:eastAsia="宋体"/>
                      <w:sz w:val="21"/>
                      <w:szCs w:val="21"/>
                    </w:rPr>
                  </w:pPr>
                  <w:r>
                    <w:rPr>
                      <w:rFonts w:eastAsia="宋体"/>
                      <w:sz w:val="21"/>
                      <w:szCs w:val="21"/>
                    </w:rPr>
                    <w:t>一次</w:t>
                  </w:r>
                </w:p>
              </w:tc>
              <w:tc>
                <w:tcPr>
                  <w:tcW w:w="2830" w:type="dxa"/>
                  <w:vAlign w:val="center"/>
                </w:tcPr>
                <w:p>
                  <w:pPr>
                    <w:adjustRightInd w:val="0"/>
                    <w:snapToGrid w:val="0"/>
                    <w:jc w:val="center"/>
                    <w:rPr>
                      <w:rFonts w:eastAsia="宋体"/>
                      <w:sz w:val="21"/>
                      <w:szCs w:val="21"/>
                    </w:rPr>
                  </w:pPr>
                  <w:r>
                    <w:rPr>
                      <w:rFonts w:eastAsia="宋体"/>
                      <w:sz w:val="21"/>
                      <w:szCs w:val="21"/>
                    </w:rPr>
                    <w:t>2.0</w:t>
                  </w:r>
                </w:p>
              </w:tc>
            </w:tr>
          </w:tbl>
          <w:p>
            <w:pPr>
              <w:pStyle w:val="36"/>
              <w:spacing w:before="240" w:beforeLines="50" w:line="360" w:lineRule="auto"/>
              <w:ind w:firstLine="482"/>
              <w:rPr>
                <w:b/>
              </w:rPr>
            </w:pPr>
            <w:r>
              <w:rPr>
                <w:rFonts w:hint="eastAsia"/>
                <w:b/>
              </w:rPr>
              <w:t>2</w:t>
            </w:r>
            <w:r>
              <w:rPr>
                <w:b/>
              </w:rPr>
              <w:t>.声环境</w:t>
            </w:r>
          </w:p>
          <w:p>
            <w:pPr>
              <w:pStyle w:val="36"/>
              <w:spacing w:line="360" w:lineRule="auto"/>
              <w:ind w:firstLine="480"/>
            </w:pPr>
            <w:r>
              <w:rPr>
                <w:rFonts w:hint="eastAsia"/>
                <w:kern w:val="0"/>
              </w:rPr>
              <w:t>项目所在区域厂界四周声环境执行《声环境质量标准》（GB3096-2008）中的</w:t>
            </w:r>
            <w:r>
              <w:rPr>
                <w:kern w:val="0"/>
              </w:rPr>
              <w:t>1</w:t>
            </w:r>
            <w:r>
              <w:rPr>
                <w:rFonts w:hint="eastAsia"/>
                <w:kern w:val="0"/>
              </w:rPr>
              <w:t>类标准</w:t>
            </w:r>
            <w:r>
              <w:rPr>
                <w:kern w:val="0"/>
              </w:rPr>
              <w:t>，</w:t>
            </w:r>
            <w:r>
              <w:t>即昼间55dB(A)，夜间45dB(A)。</w:t>
            </w:r>
          </w:p>
          <w:p>
            <w:pPr>
              <w:pStyle w:val="36"/>
              <w:spacing w:line="360" w:lineRule="auto"/>
              <w:ind w:firstLine="480"/>
              <w:rPr>
                <w:rFonts w:ascii="宋体" w:hAnsi="宋体"/>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97" w:hRule="atLeast"/>
        </w:trPr>
        <w:tc>
          <w:tcPr>
            <w:tcW w:w="828" w:type="dxa"/>
            <w:vAlign w:val="center"/>
          </w:tcPr>
          <w:p>
            <w:pPr>
              <w:jc w:val="center"/>
              <w:rPr>
                <w:rFonts w:ascii="宋体" w:hAnsi="宋体" w:eastAsia="宋体"/>
                <w:b/>
                <w:sz w:val="24"/>
                <w:szCs w:val="24"/>
              </w:rPr>
            </w:pPr>
            <w:r>
              <w:rPr>
                <w:rFonts w:ascii="宋体" w:hAnsi="宋体" w:eastAsia="宋体"/>
                <w:b/>
                <w:sz w:val="24"/>
                <w:szCs w:val="24"/>
              </w:rPr>
              <w:t>污</w:t>
            </w:r>
          </w:p>
          <w:p>
            <w:pPr>
              <w:jc w:val="center"/>
              <w:rPr>
                <w:rFonts w:ascii="宋体" w:hAnsi="宋体" w:eastAsia="宋体"/>
                <w:b/>
                <w:sz w:val="24"/>
                <w:szCs w:val="24"/>
              </w:rPr>
            </w:pPr>
            <w:r>
              <w:rPr>
                <w:rFonts w:ascii="宋体" w:hAnsi="宋体" w:eastAsia="宋体"/>
                <w:b/>
                <w:sz w:val="24"/>
                <w:szCs w:val="24"/>
              </w:rPr>
              <w:t>染</w:t>
            </w:r>
          </w:p>
          <w:p>
            <w:pPr>
              <w:jc w:val="center"/>
              <w:rPr>
                <w:rFonts w:ascii="宋体" w:hAnsi="宋体" w:eastAsia="宋体"/>
                <w:b/>
                <w:sz w:val="24"/>
                <w:szCs w:val="24"/>
              </w:rPr>
            </w:pPr>
            <w:r>
              <w:rPr>
                <w:rFonts w:ascii="宋体" w:hAnsi="宋体" w:eastAsia="宋体"/>
                <w:b/>
                <w:sz w:val="24"/>
                <w:szCs w:val="24"/>
              </w:rPr>
              <w:t>物</w:t>
            </w:r>
          </w:p>
          <w:p>
            <w:pPr>
              <w:jc w:val="center"/>
              <w:rPr>
                <w:rFonts w:ascii="宋体" w:hAnsi="宋体" w:eastAsia="宋体"/>
                <w:b/>
                <w:sz w:val="24"/>
                <w:szCs w:val="24"/>
              </w:rPr>
            </w:pPr>
            <w:r>
              <w:rPr>
                <w:rFonts w:ascii="宋体" w:hAnsi="宋体" w:eastAsia="宋体"/>
                <w:b/>
                <w:sz w:val="24"/>
                <w:szCs w:val="24"/>
              </w:rPr>
              <w:t>排</w:t>
            </w:r>
          </w:p>
          <w:p>
            <w:pPr>
              <w:jc w:val="center"/>
              <w:rPr>
                <w:rFonts w:ascii="宋体" w:hAnsi="宋体" w:eastAsia="宋体"/>
                <w:b/>
                <w:sz w:val="24"/>
                <w:szCs w:val="24"/>
              </w:rPr>
            </w:pPr>
            <w:r>
              <w:rPr>
                <w:rFonts w:ascii="宋体" w:hAnsi="宋体" w:eastAsia="宋体"/>
                <w:b/>
                <w:sz w:val="24"/>
                <w:szCs w:val="24"/>
              </w:rPr>
              <w:t>放</w:t>
            </w:r>
          </w:p>
          <w:p>
            <w:pPr>
              <w:jc w:val="center"/>
              <w:rPr>
                <w:rFonts w:ascii="宋体" w:hAnsi="宋体" w:eastAsia="宋体"/>
                <w:b/>
                <w:sz w:val="24"/>
                <w:szCs w:val="24"/>
              </w:rPr>
            </w:pPr>
            <w:r>
              <w:rPr>
                <w:rFonts w:ascii="宋体" w:hAnsi="宋体" w:eastAsia="宋体"/>
                <w:b/>
                <w:sz w:val="24"/>
                <w:szCs w:val="24"/>
              </w:rPr>
              <w:t>标</w:t>
            </w:r>
          </w:p>
          <w:p>
            <w:pPr>
              <w:jc w:val="center"/>
              <w:rPr>
                <w:rFonts w:ascii="宋体" w:hAnsi="宋体" w:eastAsia="宋体"/>
                <w:color w:val="FF0000"/>
              </w:rPr>
            </w:pPr>
            <w:r>
              <w:rPr>
                <w:rFonts w:ascii="宋体" w:hAnsi="宋体" w:eastAsia="宋体"/>
                <w:b/>
                <w:sz w:val="24"/>
                <w:szCs w:val="24"/>
              </w:rPr>
              <w:t>准</w:t>
            </w:r>
          </w:p>
        </w:tc>
        <w:tc>
          <w:tcPr>
            <w:tcW w:w="8100" w:type="dxa"/>
          </w:tcPr>
          <w:p>
            <w:pPr>
              <w:pStyle w:val="36"/>
              <w:spacing w:line="360" w:lineRule="auto"/>
              <w:ind w:firstLine="482"/>
              <w:rPr>
                <w:b/>
              </w:rPr>
            </w:pPr>
            <w:r>
              <w:rPr>
                <w:rFonts w:hint="eastAsia"/>
                <w:b/>
              </w:rPr>
              <w:t>1</w:t>
            </w:r>
            <w:r>
              <w:rPr>
                <w:b/>
              </w:rPr>
              <w:t>.</w:t>
            </w:r>
            <w:r>
              <w:rPr>
                <w:rFonts w:hint="eastAsia"/>
                <w:b/>
              </w:rPr>
              <w:t>废气</w:t>
            </w:r>
          </w:p>
          <w:p>
            <w:pPr>
              <w:snapToGrid w:val="0"/>
              <w:spacing w:line="360" w:lineRule="auto"/>
              <w:ind w:firstLine="480" w:firstLineChars="200"/>
            </w:pPr>
            <w:r>
              <w:rPr>
                <w:rFonts w:hint="eastAsia"/>
                <w:sz w:val="24"/>
                <w:szCs w:val="24"/>
              </w:rPr>
              <w:t>本项目生产过程中产生的大气污染物主要为粉尘、</w:t>
            </w:r>
            <w:r>
              <w:rPr>
                <w:sz w:val="24"/>
                <w:szCs w:val="24"/>
              </w:rPr>
              <w:t>非甲烷总烃</w:t>
            </w:r>
            <w:r>
              <w:rPr>
                <w:rFonts w:hint="eastAsia"/>
                <w:sz w:val="24"/>
                <w:szCs w:val="24"/>
              </w:rPr>
              <w:t>，均</w:t>
            </w:r>
            <w:r>
              <w:rPr>
                <w:sz w:val="24"/>
                <w:szCs w:val="24"/>
              </w:rPr>
              <w:t>执行《大气污染物综合排放标准》（GB16297-1996）</w:t>
            </w:r>
            <w:r>
              <w:rPr>
                <w:rFonts w:hint="eastAsia"/>
                <w:sz w:val="24"/>
                <w:szCs w:val="24"/>
              </w:rPr>
              <w:t>新污染源污染物</w:t>
            </w:r>
            <w:r>
              <w:rPr>
                <w:sz w:val="24"/>
                <w:szCs w:val="24"/>
              </w:rPr>
              <w:t>二级标准限值，</w:t>
            </w:r>
            <w:r>
              <w:rPr>
                <w:rFonts w:hint="eastAsia"/>
                <w:sz w:val="24"/>
                <w:szCs w:val="24"/>
              </w:rPr>
              <w:t>详</w:t>
            </w:r>
            <w:r>
              <w:rPr>
                <w:sz w:val="24"/>
                <w:szCs w:val="24"/>
              </w:rPr>
              <w:t>见表20</w:t>
            </w:r>
            <w:r>
              <w:rPr>
                <w:rFonts w:hint="eastAsia"/>
                <w:sz w:val="24"/>
                <w:szCs w:val="24"/>
              </w:rPr>
              <w:t>；</w:t>
            </w:r>
            <w:r>
              <w:rPr>
                <w:rFonts w:hint="eastAsia" w:hAnsi="宋体"/>
                <w:spacing w:val="-4"/>
                <w:sz w:val="24"/>
                <w:szCs w:val="24"/>
              </w:rPr>
              <w:t>其中，厂区内有机废气无组织排放执行《挥发性有机物无组织排放控制标准》（GB37823-2019）中附录A中特别排放限值要求，具体见下表</w:t>
            </w:r>
            <w:r>
              <w:rPr>
                <w:rFonts w:hAnsi="宋体"/>
                <w:spacing w:val="-4"/>
                <w:sz w:val="24"/>
                <w:szCs w:val="24"/>
              </w:rPr>
              <w:t>：</w:t>
            </w:r>
          </w:p>
          <w:p>
            <w:pPr>
              <w:pStyle w:val="93"/>
            </w:pPr>
            <w:r>
              <w:rPr>
                <w:rFonts w:hint="eastAsia"/>
              </w:rPr>
              <w:t>表</w:t>
            </w:r>
            <w:r>
              <w:t>4-3</w:t>
            </w:r>
            <w:r>
              <w:rPr>
                <w:rFonts w:hint="eastAsia"/>
              </w:rPr>
              <w:t>大气污染物排放标准</w:t>
            </w:r>
          </w:p>
          <w:tbl>
            <w:tblPr>
              <w:tblStyle w:val="26"/>
              <w:tblW w:w="781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280"/>
              <w:gridCol w:w="1558"/>
              <w:gridCol w:w="1090"/>
              <w:gridCol w:w="1275"/>
              <w:gridCol w:w="13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82" w:type="dxa"/>
                  <w:vMerge w:val="restart"/>
                  <w:vAlign w:val="center"/>
                </w:tcPr>
                <w:p>
                  <w:pPr>
                    <w:snapToGrid w:val="0"/>
                    <w:jc w:val="center"/>
                    <w:rPr>
                      <w:rFonts w:eastAsia="宋体"/>
                      <w:sz w:val="21"/>
                      <w:szCs w:val="21"/>
                    </w:rPr>
                  </w:pPr>
                  <w:r>
                    <w:rPr>
                      <w:rFonts w:eastAsia="宋体"/>
                      <w:sz w:val="21"/>
                      <w:szCs w:val="21"/>
                    </w:rPr>
                    <w:t>污染物</w:t>
                  </w:r>
                </w:p>
              </w:tc>
              <w:tc>
                <w:tcPr>
                  <w:tcW w:w="1280" w:type="dxa"/>
                  <w:vMerge w:val="restart"/>
                  <w:vAlign w:val="center"/>
                </w:tcPr>
                <w:p>
                  <w:pPr>
                    <w:snapToGrid w:val="0"/>
                    <w:jc w:val="center"/>
                    <w:rPr>
                      <w:rFonts w:eastAsia="宋体"/>
                      <w:sz w:val="21"/>
                      <w:szCs w:val="21"/>
                    </w:rPr>
                  </w:pPr>
                  <w:r>
                    <w:rPr>
                      <w:rFonts w:eastAsia="宋体"/>
                      <w:sz w:val="21"/>
                      <w:szCs w:val="21"/>
                    </w:rPr>
                    <w:t>最高允许排放浓度mg/m</w:t>
                  </w:r>
                  <w:r>
                    <w:rPr>
                      <w:rFonts w:eastAsia="宋体"/>
                      <w:sz w:val="21"/>
                      <w:szCs w:val="21"/>
                      <w:vertAlign w:val="superscript"/>
                    </w:rPr>
                    <w:t>3</w:t>
                  </w:r>
                </w:p>
              </w:tc>
              <w:tc>
                <w:tcPr>
                  <w:tcW w:w="2648" w:type="dxa"/>
                  <w:gridSpan w:val="2"/>
                  <w:vAlign w:val="center"/>
                </w:tcPr>
                <w:p>
                  <w:pPr>
                    <w:snapToGrid w:val="0"/>
                    <w:jc w:val="center"/>
                    <w:rPr>
                      <w:rFonts w:eastAsia="宋体"/>
                      <w:sz w:val="21"/>
                      <w:szCs w:val="21"/>
                    </w:rPr>
                  </w:pPr>
                  <w:r>
                    <w:rPr>
                      <w:rFonts w:eastAsia="宋体"/>
                      <w:sz w:val="21"/>
                      <w:szCs w:val="21"/>
                    </w:rPr>
                    <w:t>最高允许排放速率，kg/h</w:t>
                  </w:r>
                </w:p>
              </w:tc>
              <w:tc>
                <w:tcPr>
                  <w:tcW w:w="2605" w:type="dxa"/>
                  <w:gridSpan w:val="2"/>
                  <w:vAlign w:val="center"/>
                </w:tcPr>
                <w:p>
                  <w:pPr>
                    <w:snapToGrid w:val="0"/>
                    <w:jc w:val="center"/>
                    <w:rPr>
                      <w:rFonts w:eastAsia="宋体"/>
                      <w:sz w:val="21"/>
                      <w:szCs w:val="21"/>
                    </w:rPr>
                  </w:pPr>
                  <w:r>
                    <w:rPr>
                      <w:rFonts w:hint="eastAsia" w:eastAsia="宋体"/>
                      <w:sz w:val="21"/>
                      <w:szCs w:val="21"/>
                    </w:rPr>
                    <w:t>无组织排放监控浓度限值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282" w:type="dxa"/>
                  <w:vMerge w:val="continue"/>
                  <w:vAlign w:val="center"/>
                </w:tcPr>
                <w:p>
                  <w:pPr>
                    <w:snapToGrid w:val="0"/>
                    <w:jc w:val="center"/>
                    <w:rPr>
                      <w:rFonts w:eastAsia="宋体"/>
                      <w:sz w:val="21"/>
                      <w:szCs w:val="21"/>
                    </w:rPr>
                  </w:pPr>
                </w:p>
              </w:tc>
              <w:tc>
                <w:tcPr>
                  <w:tcW w:w="1280" w:type="dxa"/>
                  <w:vMerge w:val="continue"/>
                  <w:vAlign w:val="center"/>
                </w:tcPr>
                <w:p>
                  <w:pPr>
                    <w:snapToGrid w:val="0"/>
                    <w:jc w:val="center"/>
                    <w:rPr>
                      <w:rFonts w:eastAsia="宋体"/>
                      <w:sz w:val="21"/>
                      <w:szCs w:val="21"/>
                    </w:rPr>
                  </w:pPr>
                </w:p>
              </w:tc>
              <w:tc>
                <w:tcPr>
                  <w:tcW w:w="1558" w:type="dxa"/>
                  <w:vAlign w:val="center"/>
                </w:tcPr>
                <w:p>
                  <w:pPr>
                    <w:snapToGrid w:val="0"/>
                    <w:jc w:val="center"/>
                    <w:rPr>
                      <w:rFonts w:eastAsia="宋体"/>
                      <w:sz w:val="21"/>
                      <w:szCs w:val="21"/>
                    </w:rPr>
                  </w:pPr>
                  <w:r>
                    <w:rPr>
                      <w:rFonts w:eastAsia="宋体"/>
                      <w:sz w:val="21"/>
                      <w:szCs w:val="21"/>
                    </w:rPr>
                    <w:t>排气筒高度，m</w:t>
                  </w:r>
                </w:p>
              </w:tc>
              <w:tc>
                <w:tcPr>
                  <w:tcW w:w="1090" w:type="dxa"/>
                  <w:vAlign w:val="center"/>
                </w:tcPr>
                <w:p>
                  <w:pPr>
                    <w:snapToGrid w:val="0"/>
                    <w:jc w:val="center"/>
                    <w:rPr>
                      <w:rFonts w:eastAsia="宋体"/>
                      <w:sz w:val="21"/>
                      <w:szCs w:val="21"/>
                    </w:rPr>
                  </w:pPr>
                  <w:r>
                    <w:rPr>
                      <w:rFonts w:eastAsia="宋体"/>
                      <w:sz w:val="21"/>
                      <w:szCs w:val="21"/>
                    </w:rPr>
                    <w:t>二级</w:t>
                  </w:r>
                </w:p>
              </w:tc>
              <w:tc>
                <w:tcPr>
                  <w:tcW w:w="1275" w:type="dxa"/>
                  <w:vAlign w:val="center"/>
                </w:tcPr>
                <w:p>
                  <w:pPr>
                    <w:snapToGrid w:val="0"/>
                    <w:jc w:val="center"/>
                    <w:rPr>
                      <w:rFonts w:eastAsia="宋体"/>
                      <w:sz w:val="21"/>
                      <w:szCs w:val="21"/>
                    </w:rPr>
                  </w:pPr>
                  <w:r>
                    <w:rPr>
                      <w:rFonts w:hint="eastAsia" w:eastAsia="宋体"/>
                      <w:sz w:val="21"/>
                      <w:szCs w:val="21"/>
                    </w:rPr>
                    <w:t>监控点</w:t>
                  </w:r>
                </w:p>
              </w:tc>
              <w:tc>
                <w:tcPr>
                  <w:tcW w:w="1330" w:type="dxa"/>
                  <w:vAlign w:val="center"/>
                </w:tcPr>
                <w:p>
                  <w:pPr>
                    <w:snapToGrid w:val="0"/>
                    <w:jc w:val="center"/>
                    <w:rPr>
                      <w:rFonts w:eastAsia="宋体"/>
                      <w:sz w:val="21"/>
                      <w:szCs w:val="21"/>
                    </w:rPr>
                  </w:pPr>
                  <w:r>
                    <w:rPr>
                      <w:rFonts w:hint="eastAsia" w:eastAsia="宋体"/>
                      <w:sz w:val="21"/>
                      <w:szCs w:val="21"/>
                    </w:rPr>
                    <w:t>浓度</w:t>
                  </w:r>
                  <w:r>
                    <w:rPr>
                      <w:rFonts w:eastAsia="宋体"/>
                      <w:sz w:val="21"/>
                      <w:szCs w:val="21"/>
                    </w:rPr>
                    <w:t>mg/m</w:t>
                  </w:r>
                  <w:r>
                    <w:rPr>
                      <w:rFonts w:eastAsia="宋体"/>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282" w:type="dxa"/>
                  <w:vAlign w:val="center"/>
                </w:tcPr>
                <w:p>
                  <w:pPr>
                    <w:snapToGrid w:val="0"/>
                    <w:jc w:val="center"/>
                    <w:rPr>
                      <w:rFonts w:eastAsia="宋体"/>
                      <w:sz w:val="21"/>
                      <w:szCs w:val="21"/>
                    </w:rPr>
                  </w:pPr>
                  <w:r>
                    <w:rPr>
                      <w:rFonts w:eastAsia="宋体"/>
                      <w:sz w:val="21"/>
                      <w:szCs w:val="21"/>
                    </w:rPr>
                    <w:t>颗粒物</w:t>
                  </w:r>
                </w:p>
              </w:tc>
              <w:tc>
                <w:tcPr>
                  <w:tcW w:w="1280" w:type="dxa"/>
                  <w:vAlign w:val="center"/>
                </w:tcPr>
                <w:p>
                  <w:pPr>
                    <w:snapToGrid w:val="0"/>
                    <w:jc w:val="center"/>
                    <w:rPr>
                      <w:rFonts w:eastAsia="宋体"/>
                      <w:sz w:val="21"/>
                      <w:szCs w:val="21"/>
                    </w:rPr>
                  </w:pPr>
                  <w:r>
                    <w:rPr>
                      <w:rFonts w:eastAsia="宋体"/>
                      <w:sz w:val="21"/>
                      <w:szCs w:val="21"/>
                    </w:rPr>
                    <w:t>120</w:t>
                  </w:r>
                </w:p>
              </w:tc>
              <w:tc>
                <w:tcPr>
                  <w:tcW w:w="1558" w:type="dxa"/>
                  <w:vAlign w:val="center"/>
                </w:tcPr>
                <w:p>
                  <w:pPr>
                    <w:snapToGrid w:val="0"/>
                    <w:jc w:val="center"/>
                    <w:rPr>
                      <w:rFonts w:eastAsia="宋体"/>
                      <w:sz w:val="21"/>
                      <w:szCs w:val="21"/>
                    </w:rPr>
                  </w:pPr>
                  <w:r>
                    <w:rPr>
                      <w:rFonts w:eastAsia="宋体"/>
                      <w:sz w:val="21"/>
                      <w:szCs w:val="21"/>
                    </w:rPr>
                    <w:t>15</w:t>
                  </w:r>
                </w:p>
              </w:tc>
              <w:tc>
                <w:tcPr>
                  <w:tcW w:w="1090" w:type="dxa"/>
                  <w:vAlign w:val="center"/>
                </w:tcPr>
                <w:p>
                  <w:pPr>
                    <w:snapToGrid w:val="0"/>
                    <w:jc w:val="center"/>
                    <w:rPr>
                      <w:rFonts w:eastAsia="宋体"/>
                      <w:sz w:val="21"/>
                      <w:szCs w:val="21"/>
                    </w:rPr>
                  </w:pPr>
                  <w:r>
                    <w:rPr>
                      <w:rFonts w:eastAsia="宋体"/>
                      <w:sz w:val="21"/>
                      <w:szCs w:val="21"/>
                    </w:rPr>
                    <w:t>3.5</w:t>
                  </w:r>
                </w:p>
              </w:tc>
              <w:tc>
                <w:tcPr>
                  <w:tcW w:w="1275" w:type="dxa"/>
                  <w:vMerge w:val="restart"/>
                  <w:vAlign w:val="center"/>
                </w:tcPr>
                <w:p>
                  <w:pPr>
                    <w:snapToGrid w:val="0"/>
                    <w:jc w:val="center"/>
                    <w:rPr>
                      <w:rFonts w:eastAsia="宋体"/>
                      <w:sz w:val="21"/>
                      <w:szCs w:val="21"/>
                    </w:rPr>
                  </w:pPr>
                  <w:r>
                    <w:rPr>
                      <w:rFonts w:hint="eastAsia" w:eastAsia="宋体"/>
                      <w:sz w:val="21"/>
                      <w:szCs w:val="21"/>
                    </w:rPr>
                    <w:t>周界外浓度最高点</w:t>
                  </w:r>
                </w:p>
              </w:tc>
              <w:tc>
                <w:tcPr>
                  <w:tcW w:w="1330" w:type="dxa"/>
                  <w:vAlign w:val="center"/>
                </w:tcPr>
                <w:p>
                  <w:pPr>
                    <w:snapToGrid w:val="0"/>
                    <w:jc w:val="center"/>
                    <w:rPr>
                      <w:rFonts w:eastAsia="宋体"/>
                      <w:sz w:val="21"/>
                      <w:szCs w:val="21"/>
                    </w:rPr>
                  </w:pPr>
                  <w:r>
                    <w:rPr>
                      <w:rFonts w:hint="eastAsia" w:eastAsia="宋体"/>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282" w:type="dxa"/>
                  <w:vAlign w:val="center"/>
                </w:tcPr>
                <w:p>
                  <w:pPr>
                    <w:snapToGrid w:val="0"/>
                    <w:jc w:val="center"/>
                    <w:rPr>
                      <w:rFonts w:eastAsia="宋体"/>
                      <w:sz w:val="21"/>
                      <w:szCs w:val="21"/>
                    </w:rPr>
                  </w:pPr>
                  <w:r>
                    <w:rPr>
                      <w:rFonts w:hint="eastAsia" w:eastAsia="宋体"/>
                      <w:sz w:val="21"/>
                      <w:szCs w:val="21"/>
                    </w:rPr>
                    <w:t>非甲烷总烃</w:t>
                  </w:r>
                </w:p>
              </w:tc>
              <w:tc>
                <w:tcPr>
                  <w:tcW w:w="1280" w:type="dxa"/>
                  <w:vAlign w:val="center"/>
                </w:tcPr>
                <w:p>
                  <w:pPr>
                    <w:snapToGrid w:val="0"/>
                    <w:jc w:val="center"/>
                    <w:rPr>
                      <w:rFonts w:eastAsia="宋体"/>
                      <w:sz w:val="21"/>
                      <w:szCs w:val="21"/>
                    </w:rPr>
                  </w:pPr>
                  <w:r>
                    <w:rPr>
                      <w:rFonts w:hint="eastAsia" w:eastAsia="宋体"/>
                      <w:sz w:val="21"/>
                      <w:szCs w:val="21"/>
                    </w:rPr>
                    <w:t>120</w:t>
                  </w:r>
                </w:p>
              </w:tc>
              <w:tc>
                <w:tcPr>
                  <w:tcW w:w="1558" w:type="dxa"/>
                  <w:vAlign w:val="center"/>
                </w:tcPr>
                <w:p>
                  <w:pPr>
                    <w:snapToGrid w:val="0"/>
                    <w:jc w:val="center"/>
                    <w:rPr>
                      <w:rFonts w:eastAsia="宋体"/>
                      <w:sz w:val="21"/>
                      <w:szCs w:val="21"/>
                    </w:rPr>
                  </w:pPr>
                  <w:r>
                    <w:rPr>
                      <w:rFonts w:hint="eastAsia" w:eastAsia="宋体"/>
                      <w:sz w:val="21"/>
                      <w:szCs w:val="21"/>
                    </w:rPr>
                    <w:t>15</w:t>
                  </w:r>
                </w:p>
              </w:tc>
              <w:tc>
                <w:tcPr>
                  <w:tcW w:w="1090" w:type="dxa"/>
                  <w:vAlign w:val="center"/>
                </w:tcPr>
                <w:p>
                  <w:pPr>
                    <w:snapToGrid w:val="0"/>
                    <w:jc w:val="center"/>
                    <w:rPr>
                      <w:rFonts w:eastAsia="宋体"/>
                      <w:sz w:val="21"/>
                      <w:szCs w:val="21"/>
                    </w:rPr>
                  </w:pPr>
                  <w:r>
                    <w:rPr>
                      <w:rFonts w:hint="eastAsia" w:eastAsia="宋体"/>
                      <w:sz w:val="21"/>
                      <w:szCs w:val="21"/>
                    </w:rPr>
                    <w:t>10</w:t>
                  </w:r>
                </w:p>
              </w:tc>
              <w:tc>
                <w:tcPr>
                  <w:tcW w:w="1275" w:type="dxa"/>
                  <w:vMerge w:val="continue"/>
                  <w:vAlign w:val="center"/>
                </w:tcPr>
                <w:p>
                  <w:pPr>
                    <w:snapToGrid w:val="0"/>
                    <w:jc w:val="center"/>
                    <w:rPr>
                      <w:rFonts w:eastAsia="宋体"/>
                      <w:sz w:val="21"/>
                      <w:szCs w:val="21"/>
                    </w:rPr>
                  </w:pPr>
                </w:p>
              </w:tc>
              <w:tc>
                <w:tcPr>
                  <w:tcW w:w="1330" w:type="dxa"/>
                  <w:vAlign w:val="center"/>
                </w:tcPr>
                <w:p>
                  <w:pPr>
                    <w:snapToGrid w:val="0"/>
                    <w:jc w:val="center"/>
                    <w:rPr>
                      <w:rFonts w:eastAsia="宋体"/>
                      <w:sz w:val="21"/>
                      <w:szCs w:val="21"/>
                    </w:rPr>
                  </w:pPr>
                  <w:r>
                    <w:rPr>
                      <w:rFonts w:hint="eastAsia" w:eastAsia="宋体"/>
                      <w:sz w:val="21"/>
                      <w:szCs w:val="21"/>
                    </w:rPr>
                    <w:t>4.0</w:t>
                  </w:r>
                </w:p>
              </w:tc>
            </w:tr>
          </w:tbl>
          <w:p>
            <w:pPr>
              <w:snapToGrid w:val="0"/>
              <w:spacing w:before="144" w:beforeLines="30"/>
              <w:jc w:val="center"/>
            </w:pPr>
            <w:r>
              <w:rPr>
                <w:rFonts w:hint="eastAsia" w:ascii="黑体" w:hAnsi="黑体" w:eastAsia="黑体" w:cs="黑体"/>
                <w:b/>
                <w:sz w:val="21"/>
                <w:szCs w:val="21"/>
              </w:rPr>
              <w:t>表</w:t>
            </w:r>
            <w:r>
              <w:rPr>
                <w:rFonts w:ascii="黑体" w:hAnsi="黑体" w:eastAsia="黑体" w:cs="黑体"/>
                <w:b/>
                <w:sz w:val="21"/>
                <w:szCs w:val="21"/>
              </w:rPr>
              <w:t>4-4</w:t>
            </w:r>
            <w:r>
              <w:rPr>
                <w:rFonts w:hint="eastAsia" w:ascii="黑体" w:hAnsi="黑体" w:eastAsia="黑体" w:cs="黑体"/>
                <w:b/>
                <w:sz w:val="21"/>
                <w:szCs w:val="21"/>
              </w:rPr>
              <w:t>挥发性有机物无组织排放控制标准 单位：mg/m</w:t>
            </w:r>
            <w:r>
              <w:rPr>
                <w:rFonts w:hint="eastAsia" w:ascii="黑体" w:hAnsi="黑体" w:eastAsia="黑体" w:cs="黑体"/>
                <w:b/>
                <w:sz w:val="21"/>
                <w:szCs w:val="21"/>
                <w:vertAlign w:val="superscript"/>
              </w:rPr>
              <w:t>3</w:t>
            </w:r>
          </w:p>
          <w:tbl>
            <w:tblPr>
              <w:tblStyle w:val="85"/>
              <w:tblW w:w="79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1559"/>
              <w:gridCol w:w="2592"/>
              <w:gridCol w:w="25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94" w:type="dxa"/>
                  <w:vAlign w:val="center"/>
                </w:tcPr>
                <w:p>
                  <w:pPr>
                    <w:adjustRightInd w:val="0"/>
                    <w:snapToGrid w:val="0"/>
                    <w:jc w:val="center"/>
                    <w:rPr>
                      <w:sz w:val="21"/>
                      <w:szCs w:val="21"/>
                    </w:rPr>
                  </w:pPr>
                  <w:r>
                    <w:rPr>
                      <w:rFonts w:hint="eastAsia"/>
                      <w:sz w:val="21"/>
                      <w:szCs w:val="21"/>
                    </w:rPr>
                    <w:t>污染物项目</w:t>
                  </w:r>
                </w:p>
              </w:tc>
              <w:tc>
                <w:tcPr>
                  <w:tcW w:w="1559" w:type="dxa"/>
                  <w:vAlign w:val="center"/>
                </w:tcPr>
                <w:p>
                  <w:pPr>
                    <w:adjustRightInd w:val="0"/>
                    <w:snapToGrid w:val="0"/>
                    <w:jc w:val="center"/>
                    <w:rPr>
                      <w:sz w:val="21"/>
                      <w:szCs w:val="21"/>
                    </w:rPr>
                  </w:pPr>
                  <w:r>
                    <w:rPr>
                      <w:rFonts w:hint="eastAsia"/>
                      <w:sz w:val="21"/>
                      <w:szCs w:val="21"/>
                    </w:rPr>
                    <w:t>特别排放限值</w:t>
                  </w:r>
                </w:p>
              </w:tc>
              <w:tc>
                <w:tcPr>
                  <w:tcW w:w="2592" w:type="dxa"/>
                  <w:vAlign w:val="center"/>
                </w:tcPr>
                <w:p>
                  <w:pPr>
                    <w:adjustRightInd w:val="0"/>
                    <w:snapToGrid w:val="0"/>
                    <w:jc w:val="center"/>
                    <w:rPr>
                      <w:sz w:val="21"/>
                      <w:szCs w:val="21"/>
                    </w:rPr>
                  </w:pPr>
                  <w:r>
                    <w:rPr>
                      <w:rFonts w:hint="eastAsia"/>
                      <w:sz w:val="21"/>
                      <w:szCs w:val="21"/>
                    </w:rPr>
                    <w:t>限值含义</w:t>
                  </w:r>
                </w:p>
              </w:tc>
              <w:tc>
                <w:tcPr>
                  <w:tcW w:w="2511" w:type="dxa"/>
                  <w:vAlign w:val="center"/>
                </w:tcPr>
                <w:p>
                  <w:pPr>
                    <w:adjustRightInd w:val="0"/>
                    <w:snapToGrid w:val="0"/>
                    <w:jc w:val="center"/>
                    <w:rPr>
                      <w:sz w:val="21"/>
                      <w:szCs w:val="21"/>
                    </w:rPr>
                  </w:pPr>
                  <w:r>
                    <w:rPr>
                      <w:rFonts w:hint="eastAsia"/>
                      <w:sz w:val="21"/>
                      <w:szCs w:val="21"/>
                    </w:rPr>
                    <w:t>无组织排放监控位置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94" w:type="dxa"/>
                  <w:vAlign w:val="center"/>
                </w:tcPr>
                <w:p>
                  <w:pPr>
                    <w:adjustRightInd w:val="0"/>
                    <w:snapToGrid w:val="0"/>
                    <w:jc w:val="center"/>
                    <w:rPr>
                      <w:sz w:val="21"/>
                      <w:szCs w:val="21"/>
                    </w:rPr>
                  </w:pPr>
                  <w:r>
                    <w:rPr>
                      <w:rFonts w:hint="eastAsia"/>
                      <w:sz w:val="21"/>
                      <w:szCs w:val="21"/>
                    </w:rPr>
                    <w:t>NMHC</w:t>
                  </w:r>
                </w:p>
              </w:tc>
              <w:tc>
                <w:tcPr>
                  <w:tcW w:w="1559" w:type="dxa"/>
                  <w:vAlign w:val="center"/>
                </w:tcPr>
                <w:p>
                  <w:pPr>
                    <w:adjustRightInd w:val="0"/>
                    <w:snapToGrid w:val="0"/>
                    <w:jc w:val="center"/>
                    <w:rPr>
                      <w:sz w:val="21"/>
                      <w:szCs w:val="21"/>
                    </w:rPr>
                  </w:pPr>
                  <w:r>
                    <w:rPr>
                      <w:rFonts w:hint="eastAsia"/>
                      <w:sz w:val="21"/>
                      <w:szCs w:val="21"/>
                    </w:rPr>
                    <w:t>20</w:t>
                  </w:r>
                </w:p>
              </w:tc>
              <w:tc>
                <w:tcPr>
                  <w:tcW w:w="2592" w:type="dxa"/>
                  <w:vAlign w:val="center"/>
                </w:tcPr>
                <w:p>
                  <w:pPr>
                    <w:adjustRightInd w:val="0"/>
                    <w:snapToGrid w:val="0"/>
                    <w:jc w:val="center"/>
                    <w:rPr>
                      <w:sz w:val="21"/>
                      <w:szCs w:val="21"/>
                    </w:rPr>
                  </w:pPr>
                  <w:r>
                    <w:rPr>
                      <w:rFonts w:hint="eastAsia"/>
                      <w:sz w:val="21"/>
                      <w:szCs w:val="21"/>
                    </w:rPr>
                    <w:t>监测点处任意一次浓度值</w:t>
                  </w:r>
                </w:p>
              </w:tc>
              <w:tc>
                <w:tcPr>
                  <w:tcW w:w="2511" w:type="dxa"/>
                  <w:vAlign w:val="center"/>
                </w:tcPr>
                <w:p>
                  <w:pPr>
                    <w:adjustRightInd w:val="0"/>
                    <w:snapToGrid w:val="0"/>
                    <w:jc w:val="center"/>
                    <w:rPr>
                      <w:sz w:val="21"/>
                      <w:szCs w:val="21"/>
                    </w:rPr>
                  </w:pPr>
                  <w:r>
                    <w:rPr>
                      <w:rFonts w:hint="eastAsia"/>
                      <w:sz w:val="21"/>
                      <w:szCs w:val="21"/>
                    </w:rPr>
                    <w:t>在厂房外设置监控点</w:t>
                  </w:r>
                </w:p>
              </w:tc>
            </w:tr>
          </w:tbl>
          <w:p>
            <w:pPr>
              <w:pStyle w:val="36"/>
              <w:wordWrap w:val="0"/>
              <w:spacing w:line="360" w:lineRule="auto"/>
              <w:ind w:firstLine="482"/>
              <w:rPr>
                <w:b/>
              </w:rPr>
            </w:pPr>
          </w:p>
          <w:p>
            <w:pPr>
              <w:pStyle w:val="36"/>
              <w:numPr>
                <w:ilvl w:val="0"/>
                <w:numId w:val="2"/>
              </w:numPr>
              <w:spacing w:line="360" w:lineRule="auto"/>
              <w:ind w:firstLine="482"/>
              <w:rPr>
                <w:b/>
              </w:rPr>
            </w:pPr>
            <w:r>
              <w:rPr>
                <w:b/>
              </w:rPr>
              <w:t>噪声</w:t>
            </w:r>
          </w:p>
          <w:p>
            <w:pPr>
              <w:pStyle w:val="2"/>
              <w:wordWrap w:val="0"/>
              <w:spacing w:line="360" w:lineRule="auto"/>
              <w:ind w:firstLine="480" w:firstLineChars="200"/>
              <w:rPr>
                <w:rFonts w:eastAsia="宋体"/>
                <w:sz w:val="24"/>
                <w:szCs w:val="22"/>
              </w:rPr>
            </w:pPr>
            <w:r>
              <w:rPr>
                <w:rFonts w:hint="eastAsia" w:eastAsia="宋体"/>
                <w:sz w:val="24"/>
                <w:szCs w:val="22"/>
              </w:rPr>
              <w:t>营运期厂界四周噪声执行《工业企业厂界环境噪声排放标准》（GB12348-2008）中</w:t>
            </w:r>
            <w:r>
              <w:rPr>
                <w:rFonts w:eastAsia="宋体"/>
                <w:sz w:val="24"/>
                <w:szCs w:val="22"/>
              </w:rPr>
              <w:t>1</w:t>
            </w:r>
            <w:r>
              <w:rPr>
                <w:rFonts w:hint="eastAsia" w:eastAsia="宋体"/>
                <w:sz w:val="24"/>
                <w:szCs w:val="22"/>
              </w:rPr>
              <w:t>类区标准，即昼间</w:t>
            </w:r>
            <w:r>
              <w:rPr>
                <w:rFonts w:eastAsia="宋体"/>
                <w:sz w:val="24"/>
                <w:szCs w:val="22"/>
              </w:rPr>
              <w:t>55</w:t>
            </w:r>
            <w:r>
              <w:rPr>
                <w:rFonts w:hint="eastAsia" w:eastAsia="宋体"/>
                <w:sz w:val="24"/>
                <w:szCs w:val="22"/>
              </w:rPr>
              <w:t>dB（A），夜间</w:t>
            </w:r>
            <w:r>
              <w:rPr>
                <w:rFonts w:eastAsia="宋体"/>
                <w:sz w:val="24"/>
                <w:szCs w:val="22"/>
              </w:rPr>
              <w:t>45</w:t>
            </w:r>
            <w:r>
              <w:rPr>
                <w:rFonts w:hint="eastAsia" w:eastAsia="宋体"/>
                <w:sz w:val="24"/>
                <w:szCs w:val="22"/>
              </w:rPr>
              <w:t>dB（A）；</w:t>
            </w:r>
          </w:p>
          <w:p>
            <w:pPr>
              <w:pStyle w:val="36"/>
              <w:spacing w:line="360" w:lineRule="auto"/>
              <w:ind w:firstLine="482"/>
              <w:rPr>
                <w:b/>
              </w:rPr>
            </w:pPr>
            <w:r>
              <w:rPr>
                <w:b/>
              </w:rPr>
              <w:t>3.</w:t>
            </w:r>
            <w:r>
              <w:rPr>
                <w:rFonts w:hint="eastAsia"/>
                <w:b/>
              </w:rPr>
              <w:t>固体废物</w:t>
            </w:r>
          </w:p>
          <w:p>
            <w:pPr>
              <w:pStyle w:val="2"/>
              <w:wordWrap w:val="0"/>
              <w:spacing w:line="360" w:lineRule="auto"/>
              <w:ind w:firstLine="480" w:firstLineChars="200"/>
              <w:rPr>
                <w:rFonts w:eastAsia="宋体"/>
                <w:sz w:val="24"/>
                <w:szCs w:val="22"/>
              </w:rPr>
            </w:pPr>
            <w:r>
              <w:rPr>
                <w:rFonts w:hint="eastAsia" w:eastAsia="宋体"/>
                <w:sz w:val="24"/>
                <w:szCs w:val="22"/>
              </w:rPr>
              <w:t>生活垃圾排放参照执行沈阳市人民政府令第56 号《辽宁省沈阳市城市垃圾管理规定》。</w:t>
            </w:r>
          </w:p>
          <w:p>
            <w:pPr>
              <w:pStyle w:val="2"/>
              <w:wordWrap w:val="0"/>
              <w:spacing w:line="360" w:lineRule="auto"/>
              <w:ind w:firstLine="480" w:firstLineChars="200"/>
              <w:rPr>
                <w:rFonts w:eastAsia="宋体"/>
                <w:sz w:val="24"/>
                <w:szCs w:val="22"/>
              </w:rPr>
            </w:pPr>
            <w:r>
              <w:rPr>
                <w:rFonts w:hint="eastAsia" w:eastAsia="宋体"/>
                <w:sz w:val="24"/>
                <w:szCs w:val="22"/>
              </w:rPr>
              <w:t>一般工业固体废物暂存及处置执行《一般工业固体废物贮存、处置场污染控制标准》（GB18599-2001）及其修改单的公告（环境保护部公告，公告2013年第36号）。</w:t>
            </w:r>
          </w:p>
          <w:p>
            <w:pPr>
              <w:pStyle w:val="36"/>
              <w:spacing w:line="360" w:lineRule="auto"/>
              <w:ind w:firstLine="480"/>
              <w:rPr>
                <w:color w:val="FF0000"/>
                <w:szCs w:val="24"/>
              </w:rPr>
            </w:pPr>
            <w:r>
              <w:rPr>
                <w:rFonts w:hint="eastAsia"/>
                <w:color w:val="FF0000"/>
                <w:szCs w:val="24"/>
              </w:rPr>
              <w:t xml:space="preserve">  </w:t>
            </w:r>
            <w:r>
              <w:rPr>
                <w:rFonts w:hint="eastAsia"/>
                <w:szCs w:val="22"/>
              </w:rPr>
              <w:t xml:space="preserve"> 危险废物暂存及处置执行《危险废物贮存污染控制标准》（GB18597-2001）及其修改单的公告（环境保护部公告，公告2013年第36号）。</w:t>
            </w:r>
          </w:p>
        </w:tc>
      </w:tr>
    </w:tbl>
    <w:p>
      <w:pPr>
        <w:rPr>
          <w:rFonts w:ascii="宋体" w:hAnsi="宋体" w:eastAsia="宋体"/>
          <w:b/>
          <w:color w:val="FF0000"/>
          <w:sz w:val="24"/>
          <w:szCs w:val="24"/>
        </w:rPr>
        <w:sectPr>
          <w:pgSz w:w="11906" w:h="16838"/>
          <w:pgMar w:top="1701" w:right="1701" w:bottom="1843" w:left="1701" w:header="851" w:footer="992" w:gutter="0"/>
          <w:cols w:space="720" w:num="1"/>
          <w:docGrid w:type="lines" w:linePitch="480" w:charSpace="0"/>
        </w:sectPr>
      </w:pPr>
    </w:p>
    <w:tbl>
      <w:tblPr>
        <w:tblStyle w:val="25"/>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8" w:hRule="atLeast"/>
        </w:trPr>
        <w:tc>
          <w:tcPr>
            <w:tcW w:w="828" w:type="dxa"/>
            <w:vAlign w:val="center"/>
          </w:tcPr>
          <w:p>
            <w:pPr>
              <w:jc w:val="center"/>
              <w:rPr>
                <w:rFonts w:ascii="宋体" w:hAnsi="宋体" w:eastAsia="宋体"/>
                <w:b/>
                <w:sz w:val="24"/>
                <w:szCs w:val="24"/>
              </w:rPr>
            </w:pPr>
            <w:r>
              <w:rPr>
                <w:rFonts w:ascii="宋体" w:hAnsi="宋体" w:eastAsia="宋体"/>
                <w:b/>
                <w:sz w:val="24"/>
                <w:szCs w:val="24"/>
              </w:rPr>
              <w:t>总</w:t>
            </w:r>
          </w:p>
          <w:p>
            <w:pPr>
              <w:jc w:val="center"/>
              <w:rPr>
                <w:rFonts w:ascii="宋体" w:hAnsi="宋体" w:eastAsia="宋体"/>
                <w:b/>
                <w:sz w:val="24"/>
                <w:szCs w:val="24"/>
              </w:rPr>
            </w:pPr>
            <w:r>
              <w:rPr>
                <w:rFonts w:ascii="宋体" w:hAnsi="宋体" w:eastAsia="宋体"/>
                <w:b/>
                <w:sz w:val="24"/>
                <w:szCs w:val="24"/>
              </w:rPr>
              <w:t>量</w:t>
            </w:r>
          </w:p>
          <w:p>
            <w:pPr>
              <w:jc w:val="center"/>
              <w:rPr>
                <w:rFonts w:ascii="宋体" w:hAnsi="宋体" w:eastAsia="宋体"/>
                <w:b/>
                <w:sz w:val="24"/>
                <w:szCs w:val="24"/>
              </w:rPr>
            </w:pPr>
            <w:r>
              <w:rPr>
                <w:rFonts w:ascii="宋体" w:hAnsi="宋体" w:eastAsia="宋体"/>
                <w:b/>
                <w:sz w:val="24"/>
                <w:szCs w:val="24"/>
              </w:rPr>
              <w:t>控</w:t>
            </w:r>
          </w:p>
          <w:p>
            <w:pPr>
              <w:jc w:val="center"/>
              <w:rPr>
                <w:rFonts w:ascii="宋体" w:hAnsi="宋体" w:eastAsia="宋体"/>
                <w:b/>
                <w:sz w:val="24"/>
                <w:szCs w:val="24"/>
              </w:rPr>
            </w:pPr>
            <w:r>
              <w:rPr>
                <w:rFonts w:ascii="宋体" w:hAnsi="宋体" w:eastAsia="宋体"/>
                <w:b/>
                <w:sz w:val="24"/>
                <w:szCs w:val="24"/>
              </w:rPr>
              <w:t>制</w:t>
            </w:r>
          </w:p>
          <w:p>
            <w:pPr>
              <w:jc w:val="center"/>
              <w:rPr>
                <w:rFonts w:ascii="宋体" w:hAnsi="宋体" w:eastAsia="宋体"/>
                <w:b/>
                <w:sz w:val="24"/>
                <w:szCs w:val="24"/>
              </w:rPr>
            </w:pPr>
            <w:r>
              <w:rPr>
                <w:rFonts w:ascii="宋体" w:hAnsi="宋体" w:eastAsia="宋体"/>
                <w:b/>
                <w:sz w:val="24"/>
                <w:szCs w:val="24"/>
              </w:rPr>
              <w:t>指</w:t>
            </w:r>
          </w:p>
          <w:p>
            <w:pPr>
              <w:jc w:val="center"/>
              <w:rPr>
                <w:rFonts w:ascii="宋体" w:hAnsi="宋体" w:eastAsia="宋体"/>
                <w:b/>
                <w:sz w:val="24"/>
                <w:szCs w:val="24"/>
              </w:rPr>
            </w:pPr>
            <w:r>
              <w:rPr>
                <w:rFonts w:ascii="宋体" w:hAnsi="宋体" w:eastAsia="宋体"/>
                <w:b/>
                <w:sz w:val="24"/>
                <w:szCs w:val="24"/>
              </w:rPr>
              <w:t>标</w:t>
            </w:r>
          </w:p>
        </w:tc>
        <w:tc>
          <w:tcPr>
            <w:tcW w:w="8100" w:type="dxa"/>
          </w:tcPr>
          <w:p>
            <w:pPr>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根据《国务院关于印发</w:t>
            </w:r>
            <w:r>
              <w:rPr>
                <w:rFonts w:hint="eastAsia" w:asciiTheme="minorEastAsia" w:hAnsiTheme="minorEastAsia" w:eastAsiaTheme="minorEastAsia"/>
                <w:sz w:val="24"/>
                <w:szCs w:val="24"/>
              </w:rPr>
              <w:t>“</w:t>
            </w:r>
            <w:r>
              <w:rPr>
                <w:rFonts w:asciiTheme="minorEastAsia" w:hAnsiTheme="minorEastAsia" w:eastAsiaTheme="minorEastAsia"/>
                <w:sz w:val="24"/>
                <w:szCs w:val="24"/>
              </w:rPr>
              <w:t>十</w:t>
            </w:r>
            <w:r>
              <w:rPr>
                <w:rFonts w:hint="eastAsia" w:asciiTheme="minorEastAsia" w:hAnsiTheme="minorEastAsia" w:eastAsiaTheme="minorEastAsia"/>
                <w:sz w:val="24"/>
                <w:szCs w:val="24"/>
              </w:rPr>
              <w:t>三</w:t>
            </w:r>
            <w:r>
              <w:rPr>
                <w:rFonts w:asciiTheme="minorEastAsia" w:hAnsiTheme="minorEastAsia" w:eastAsiaTheme="minorEastAsia"/>
                <w:sz w:val="24"/>
                <w:szCs w:val="24"/>
              </w:rPr>
              <w:t>五</w:t>
            </w:r>
            <w:r>
              <w:rPr>
                <w:rFonts w:hint="eastAsia" w:asciiTheme="minorEastAsia" w:hAnsiTheme="minorEastAsia" w:eastAsiaTheme="minorEastAsia"/>
                <w:sz w:val="24"/>
                <w:szCs w:val="24"/>
              </w:rPr>
              <w:t>”环境保护</w:t>
            </w:r>
            <w:r>
              <w:rPr>
                <w:rFonts w:asciiTheme="minorEastAsia" w:hAnsiTheme="minorEastAsia" w:eastAsiaTheme="minorEastAsia"/>
                <w:sz w:val="24"/>
                <w:szCs w:val="24"/>
              </w:rPr>
              <w:t>规划的通知》（国发[201</w:t>
            </w:r>
            <w:r>
              <w:rPr>
                <w:rFonts w:hint="eastAsia" w:asciiTheme="minorEastAsia" w:hAnsiTheme="minorEastAsia" w:eastAsiaTheme="minorEastAsia"/>
                <w:sz w:val="24"/>
                <w:szCs w:val="24"/>
              </w:rPr>
              <w:t>6</w:t>
            </w:r>
            <w:r>
              <w:rPr>
                <w:rFonts w:asciiTheme="minorEastAsia" w:hAnsiTheme="minorEastAsia" w:eastAsiaTheme="minorEastAsia"/>
                <w:sz w:val="24"/>
                <w:szCs w:val="24"/>
              </w:rPr>
              <w:t>]</w:t>
            </w:r>
            <w:r>
              <w:rPr>
                <w:rFonts w:hint="eastAsia" w:asciiTheme="minorEastAsia" w:hAnsiTheme="minorEastAsia" w:eastAsiaTheme="minorEastAsia"/>
                <w:sz w:val="24"/>
                <w:szCs w:val="24"/>
              </w:rPr>
              <w:t>65</w:t>
            </w:r>
            <w:r>
              <w:rPr>
                <w:rFonts w:asciiTheme="minorEastAsia" w:hAnsiTheme="minorEastAsia" w:eastAsiaTheme="minorEastAsia"/>
                <w:sz w:val="24"/>
                <w:szCs w:val="24"/>
              </w:rPr>
              <w:t>号）</w:t>
            </w:r>
            <w:r>
              <w:rPr>
                <w:rFonts w:hint="eastAsia" w:asciiTheme="minorEastAsia" w:hAnsiTheme="minorEastAsia" w:eastAsiaTheme="minorEastAsia"/>
                <w:sz w:val="24"/>
                <w:szCs w:val="24"/>
              </w:rPr>
              <w:t>、国家环保部《建设项目主要污染物排放总量指标审核及管理暂行办法》（环发〔</w:t>
            </w:r>
            <w:r>
              <w:rPr>
                <w:rFonts w:asciiTheme="minorEastAsia" w:hAnsiTheme="minorEastAsia" w:eastAsiaTheme="minorEastAsia"/>
                <w:sz w:val="24"/>
                <w:szCs w:val="24"/>
              </w:rPr>
              <w:t>2014</w:t>
            </w:r>
            <w:r>
              <w:rPr>
                <w:rFonts w:hint="eastAsia" w:asciiTheme="minorEastAsia" w:hAnsiTheme="minorEastAsia" w:eastAsiaTheme="minorEastAsia"/>
                <w:sz w:val="24"/>
                <w:szCs w:val="24"/>
              </w:rPr>
              <w:t>〕</w:t>
            </w:r>
            <w:r>
              <w:rPr>
                <w:rFonts w:asciiTheme="minorEastAsia" w:hAnsiTheme="minorEastAsia" w:eastAsiaTheme="minorEastAsia"/>
                <w:sz w:val="24"/>
                <w:szCs w:val="24"/>
              </w:rPr>
              <w:t>197</w:t>
            </w:r>
            <w:r>
              <w:rPr>
                <w:rFonts w:hint="eastAsia" w:asciiTheme="minorEastAsia" w:hAnsiTheme="minorEastAsia" w:eastAsiaTheme="minorEastAsia"/>
                <w:sz w:val="24"/>
                <w:szCs w:val="24"/>
              </w:rPr>
              <w:t>号）及辽宁省环境保护厅《辽宁省环境保护厅关于贯彻执行环保部建设项目主要污染物排放总量指标审核及管理暂行办法的通知》（辽环发</w:t>
            </w:r>
            <w:r>
              <w:rPr>
                <w:rFonts w:asciiTheme="minorEastAsia" w:hAnsiTheme="minorEastAsia" w:eastAsiaTheme="minorEastAsia"/>
                <w:sz w:val="24"/>
                <w:szCs w:val="24"/>
              </w:rPr>
              <w:t>[2015]17</w:t>
            </w:r>
            <w:r>
              <w:rPr>
                <w:rFonts w:hint="eastAsia" w:asciiTheme="minorEastAsia" w:hAnsiTheme="minorEastAsia" w:eastAsiaTheme="minorEastAsia"/>
                <w:sz w:val="24"/>
                <w:szCs w:val="24"/>
              </w:rPr>
              <w:t>号）的要求，以化学需氧量、氨氮、二氧化硫、氮氧化物为重点，进一步加强建设项目主要污染物排放总量指标的审核和管理，严控新增排放量。</w:t>
            </w:r>
          </w:p>
          <w:p>
            <w:pPr>
              <w:snapToGrid w:val="0"/>
              <w:spacing w:line="360" w:lineRule="auto"/>
              <w:ind w:firstLine="480" w:firstLineChars="200"/>
              <w:rPr>
                <w:rFonts w:ascii="宋体" w:hAnsi="宋体" w:eastAsia="宋体"/>
                <w:b/>
                <w:sz w:val="24"/>
                <w:szCs w:val="24"/>
              </w:rPr>
            </w:pPr>
            <w:r>
              <w:rPr>
                <w:rFonts w:hint="eastAsia" w:asciiTheme="minorEastAsia" w:hAnsiTheme="minorEastAsia" w:eastAsiaTheme="minorEastAsia"/>
                <w:sz w:val="24"/>
                <w:szCs w:val="24"/>
              </w:rPr>
              <w:t>本项目无生</w:t>
            </w:r>
            <w:r>
              <w:rPr>
                <w:rFonts w:asciiTheme="minorEastAsia" w:hAnsiTheme="minorEastAsia" w:eastAsiaTheme="minorEastAsia"/>
                <w:sz w:val="24"/>
                <w:szCs w:val="24"/>
              </w:rPr>
              <w:t>产废水排放，大气污染物为颗粒物</w:t>
            </w:r>
            <w:r>
              <w:rPr>
                <w:rFonts w:hint="eastAsia" w:asciiTheme="minorEastAsia" w:hAnsiTheme="minorEastAsia" w:eastAsiaTheme="minorEastAsia"/>
                <w:sz w:val="24"/>
                <w:szCs w:val="24"/>
              </w:rPr>
              <w:t>和</w:t>
            </w:r>
            <w:r>
              <w:rPr>
                <w:rFonts w:asciiTheme="minorEastAsia" w:hAnsiTheme="minorEastAsia" w:eastAsiaTheme="minorEastAsia"/>
                <w:sz w:val="24"/>
                <w:szCs w:val="24"/>
              </w:rPr>
              <w:t>非甲烷总烃，生产车间全封闭，</w:t>
            </w:r>
            <w:r>
              <w:rPr>
                <w:rFonts w:hint="eastAsia" w:asciiTheme="minorEastAsia" w:hAnsiTheme="minorEastAsia" w:eastAsiaTheme="minorEastAsia"/>
                <w:sz w:val="24"/>
                <w:szCs w:val="24"/>
              </w:rPr>
              <w:t>负</w:t>
            </w:r>
            <w:r>
              <w:rPr>
                <w:rFonts w:asciiTheme="minorEastAsia" w:hAnsiTheme="minorEastAsia" w:eastAsiaTheme="minorEastAsia"/>
                <w:sz w:val="24"/>
                <w:szCs w:val="24"/>
              </w:rPr>
              <w:t>压收集，排放量低。无</w:t>
            </w:r>
            <w:r>
              <w:rPr>
                <w:rFonts w:hint="eastAsia" w:asciiTheme="minorEastAsia" w:hAnsiTheme="minorEastAsia" w:eastAsiaTheme="minorEastAsia"/>
                <w:sz w:val="24"/>
                <w:szCs w:val="24"/>
              </w:rPr>
              <w:t>需</w:t>
            </w:r>
            <w:r>
              <w:rPr>
                <w:rFonts w:asciiTheme="minorEastAsia" w:hAnsiTheme="minorEastAsia" w:eastAsiaTheme="minorEastAsia"/>
                <w:sz w:val="24"/>
                <w:szCs w:val="24"/>
              </w:rPr>
              <w:t>申请总量</w:t>
            </w:r>
            <w:r>
              <w:rPr>
                <w:rFonts w:hint="eastAsia" w:asciiTheme="minorEastAsia" w:hAnsiTheme="minorEastAsia" w:eastAsiaTheme="minorEastAsia"/>
                <w:sz w:val="24"/>
                <w:szCs w:val="24"/>
              </w:rPr>
              <w:t>指标</w:t>
            </w:r>
            <w:r>
              <w:rPr>
                <w:rFonts w:asciiTheme="minorEastAsia" w:hAnsiTheme="minorEastAsia" w:eastAsiaTheme="minorEastAsia"/>
                <w:sz w:val="24"/>
                <w:szCs w:val="24"/>
              </w:rPr>
              <w:t>。</w:t>
            </w:r>
          </w:p>
        </w:tc>
      </w:tr>
    </w:tbl>
    <w:p>
      <w:pPr>
        <w:pStyle w:val="2"/>
        <w:sectPr>
          <w:pgSz w:w="11906" w:h="16838"/>
          <w:pgMar w:top="1701" w:right="1701" w:bottom="1843" w:left="1701" w:header="851" w:footer="992" w:gutter="0"/>
          <w:cols w:space="720" w:num="1"/>
          <w:docGrid w:type="lines" w:linePitch="480" w:charSpace="0"/>
        </w:sectPr>
      </w:pPr>
    </w:p>
    <w:p>
      <w:pPr>
        <w:rPr>
          <w:rFonts w:ascii="宋体" w:hAnsi="宋体" w:eastAsia="宋体"/>
          <w:b/>
          <w:sz w:val="24"/>
          <w:szCs w:val="24"/>
        </w:rPr>
      </w:pPr>
      <w:r>
        <w:rPr>
          <w:rFonts w:ascii="宋体" w:hAnsi="宋体" w:eastAsia="宋体"/>
          <w:b/>
          <w:sz w:val="24"/>
          <w:szCs w:val="24"/>
        </w:rPr>
        <w:t>建设项目工程分析</w:t>
      </w:r>
    </w:p>
    <w:tbl>
      <w:tblPr>
        <w:tblStyle w:val="2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0" w:hRule="atLeast"/>
        </w:trPr>
        <w:tc>
          <w:tcPr>
            <w:tcW w:w="8720" w:type="dxa"/>
          </w:tcPr>
          <w:p>
            <w:pPr>
              <w:pStyle w:val="36"/>
              <w:spacing w:line="160" w:lineRule="exact"/>
              <w:ind w:firstLine="480"/>
              <w:rPr>
                <w:color w:val="FF0000"/>
              </w:rPr>
            </w:pPr>
            <w:bookmarkStart w:id="9" w:name="_Toc276385527"/>
            <w:bookmarkStart w:id="10" w:name="_Toc275423349"/>
            <w:bookmarkStart w:id="11" w:name="_Toc275421684"/>
            <w:bookmarkStart w:id="12" w:name="_Toc275444445"/>
          </w:p>
          <w:p>
            <w:pPr>
              <w:pStyle w:val="36"/>
              <w:spacing w:line="360" w:lineRule="auto"/>
              <w:ind w:firstLine="0" w:firstLineChars="0"/>
            </w:pPr>
            <w:r>
              <w:rPr>
                <w:rFonts w:hint="eastAsia"/>
              </w:rPr>
              <w:t>工艺流程简图及概述</w:t>
            </w:r>
          </w:p>
          <w:bookmarkEnd w:id="9"/>
          <w:bookmarkEnd w:id="10"/>
          <w:bookmarkEnd w:id="11"/>
          <w:bookmarkEnd w:id="12"/>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、建设期环境影响分析</w:t>
            </w:r>
            <w:r>
              <w:rPr>
                <w:rFonts w:hint="eastAsia" w:asciiTheme="minorEastAsia" w:hAnsiTheme="minorEastAsia" w:eastAsiaTheme="minorEastAsia"/>
                <w:sz w:val="24"/>
                <w:szCs w:val="24"/>
              </w:rPr>
              <w:t>:</w:t>
            </w:r>
          </w:p>
          <w:p>
            <w:pPr>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项目</w:t>
            </w:r>
            <w:r>
              <w:rPr>
                <w:rFonts w:hint="eastAsia" w:asciiTheme="minorEastAsia" w:hAnsiTheme="minorEastAsia" w:eastAsiaTheme="minorEastAsia"/>
                <w:sz w:val="24"/>
                <w:szCs w:val="24"/>
              </w:rPr>
              <w:t>租赁锦州松山新区松山街道北三道壕子村锦州低压电器厂厂房</w:t>
            </w:r>
            <w:r>
              <w:rPr>
                <w:rFonts w:asciiTheme="minorEastAsia" w:hAnsiTheme="minorEastAsia" w:eastAsiaTheme="minorEastAsia"/>
                <w:sz w:val="24"/>
                <w:szCs w:val="24"/>
              </w:rPr>
              <w:t>，</w:t>
            </w:r>
            <w:r>
              <w:rPr>
                <w:rFonts w:hint="eastAsia" w:asciiTheme="minorEastAsia" w:hAnsiTheme="minorEastAsia" w:eastAsiaTheme="minorEastAsia"/>
                <w:sz w:val="24"/>
                <w:szCs w:val="24"/>
              </w:rPr>
              <w:t>无厂房土建施工，施工期主要环境影响为设备的安装，由于施工期较短，且在封闭厂房内进行，对环境影响较小，</w:t>
            </w:r>
            <w:r>
              <w:rPr>
                <w:rFonts w:asciiTheme="minorEastAsia" w:hAnsiTheme="minorEastAsia" w:eastAsiaTheme="minorEastAsia"/>
                <w:sz w:val="24"/>
                <w:szCs w:val="24"/>
              </w:rPr>
              <w:t>故</w:t>
            </w:r>
            <w:r>
              <w:rPr>
                <w:rFonts w:hint="eastAsia" w:asciiTheme="minorEastAsia" w:hAnsiTheme="minorEastAsia" w:eastAsiaTheme="minorEastAsia"/>
                <w:sz w:val="24"/>
                <w:szCs w:val="24"/>
              </w:rPr>
              <w:t>本次环评对建设期不做评述</w:t>
            </w:r>
            <w:r>
              <w:rPr>
                <w:rFonts w:asciiTheme="minorEastAsia" w:hAnsiTheme="minorEastAsia" w:eastAsiaTheme="minorEastAsia"/>
                <w:sz w:val="24"/>
                <w:szCs w:val="24"/>
              </w:rPr>
              <w:t>。</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asciiTheme="minorEastAsia" w:hAnsiTheme="minorEastAsia" w:eastAsiaTheme="minorEastAsia"/>
                <w:sz w:val="24"/>
                <w:szCs w:val="24"/>
              </w:rPr>
              <w:t>、营运期工艺流程简述：</w:t>
            </w:r>
          </w:p>
          <w:p>
            <w:pPr>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drawing>
                <wp:inline distT="0" distB="0" distL="0" distR="0">
                  <wp:extent cx="5240020" cy="180086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40020" cy="1800860"/>
                          </a:xfrm>
                          <a:prstGeom prst="rect">
                            <a:avLst/>
                          </a:prstGeom>
                          <a:noFill/>
                          <a:ln>
                            <a:noFill/>
                          </a:ln>
                        </pic:spPr>
                      </pic:pic>
                    </a:graphicData>
                  </a:graphic>
                </wp:inline>
              </w:drawing>
            </w:r>
          </w:p>
          <w:p>
            <w:pPr>
              <w:snapToGrid w:val="0"/>
              <w:spacing w:line="360" w:lineRule="auto"/>
              <w:ind w:firstLine="480" w:firstLineChars="200"/>
              <w:jc w:val="center"/>
              <w:rPr>
                <w:rFonts w:asciiTheme="minorEastAsia" w:hAnsiTheme="minorEastAsia" w:eastAsiaTheme="minorEastAsia"/>
                <w:sz w:val="24"/>
                <w:szCs w:val="24"/>
              </w:rPr>
            </w:pPr>
            <w:r>
              <w:rPr>
                <w:rFonts w:asciiTheme="minorEastAsia" w:hAnsiTheme="minorEastAsia" w:eastAsiaTheme="minorEastAsia"/>
                <w:sz w:val="24"/>
                <w:szCs w:val="24"/>
              </w:rPr>
              <w:t>图5-1 项目工艺流程图</w:t>
            </w:r>
          </w:p>
          <w:p>
            <w:pPr>
              <w:snapToGrid w:val="0"/>
              <w:spacing w:line="360" w:lineRule="auto"/>
              <w:ind w:firstLine="480" w:firstLineChars="200"/>
              <w:jc w:val="center"/>
              <w:rPr>
                <w:rFonts w:asciiTheme="minorEastAsia" w:hAnsiTheme="minorEastAsia" w:eastAsiaTheme="minorEastAsia"/>
                <w:sz w:val="24"/>
                <w:szCs w:val="24"/>
              </w:rPr>
            </w:pPr>
            <w:r>
              <w:rPr>
                <w:rFonts w:asciiTheme="minorEastAsia" w:hAnsiTheme="minorEastAsia" w:eastAsiaTheme="minorEastAsia"/>
                <w:sz w:val="24"/>
                <w:szCs w:val="24"/>
              </w:rPr>
              <w:t>（注：Sn-固废；Gn-废气；Nn-噪声）</w:t>
            </w:r>
          </w:p>
          <w:p>
            <w:pPr>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流程简述：</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配料</w:t>
            </w:r>
            <w:r>
              <w:rPr>
                <w:rFonts w:asciiTheme="minorEastAsia" w:hAnsiTheme="minorEastAsia" w:eastAsiaTheme="minorEastAsia"/>
                <w:sz w:val="24"/>
                <w:szCs w:val="24"/>
              </w:rPr>
              <w:t>：将外购的蛭石、石墨、聚磷酸铵、</w:t>
            </w:r>
            <w:r>
              <w:rPr>
                <w:rFonts w:hint="eastAsia" w:asciiTheme="minorEastAsia" w:hAnsiTheme="minorEastAsia" w:eastAsiaTheme="minorEastAsia"/>
                <w:sz w:val="24"/>
                <w:szCs w:val="24"/>
              </w:rPr>
              <w:t>氯丁胶乳</w:t>
            </w:r>
            <w:r>
              <w:rPr>
                <w:rFonts w:asciiTheme="minorEastAsia" w:hAnsiTheme="minorEastAsia" w:eastAsiaTheme="minorEastAsia"/>
                <w:sz w:val="24"/>
                <w:szCs w:val="24"/>
              </w:rPr>
              <w:t>利用电子秤进行称重</w:t>
            </w:r>
            <w:r>
              <w:rPr>
                <w:rFonts w:hint="eastAsia" w:asciiTheme="minorEastAsia" w:hAnsiTheme="minorEastAsia" w:eastAsiaTheme="minorEastAsia"/>
                <w:sz w:val="24"/>
                <w:szCs w:val="24"/>
              </w:rPr>
              <w:t>，称重</w:t>
            </w:r>
            <w:r>
              <w:rPr>
                <w:rFonts w:asciiTheme="minorEastAsia" w:hAnsiTheme="minorEastAsia" w:eastAsiaTheme="minorEastAsia"/>
                <w:sz w:val="24"/>
                <w:szCs w:val="24"/>
              </w:rPr>
              <w:t>后按一定配比进行</w:t>
            </w:r>
            <w:r>
              <w:rPr>
                <w:rFonts w:hint="eastAsia" w:asciiTheme="minorEastAsia" w:hAnsiTheme="minorEastAsia" w:eastAsiaTheme="minorEastAsia"/>
                <w:sz w:val="24"/>
                <w:szCs w:val="24"/>
              </w:rPr>
              <w:t>人工</w:t>
            </w:r>
            <w:r>
              <w:rPr>
                <w:rFonts w:asciiTheme="minorEastAsia" w:hAnsiTheme="minorEastAsia" w:eastAsiaTheme="minorEastAsia"/>
                <w:sz w:val="24"/>
                <w:szCs w:val="24"/>
              </w:rPr>
              <w:t>配料，</w:t>
            </w:r>
            <w:r>
              <w:rPr>
                <w:rFonts w:hint="eastAsia" w:asciiTheme="minorEastAsia" w:hAnsiTheme="minorEastAsia" w:eastAsiaTheme="minorEastAsia"/>
                <w:sz w:val="24"/>
                <w:szCs w:val="24"/>
              </w:rPr>
              <w:t>蛭石、石墨、聚磷酸铵为粉末状，</w:t>
            </w:r>
            <w:r>
              <w:rPr>
                <w:rFonts w:asciiTheme="minorEastAsia" w:hAnsiTheme="minorEastAsia" w:eastAsiaTheme="minorEastAsia"/>
                <w:sz w:val="24"/>
                <w:szCs w:val="24"/>
              </w:rPr>
              <w:t>在称重</w:t>
            </w:r>
            <w:r>
              <w:rPr>
                <w:rFonts w:hint="eastAsia" w:asciiTheme="minorEastAsia" w:hAnsiTheme="minorEastAsia" w:eastAsiaTheme="minorEastAsia"/>
                <w:sz w:val="24"/>
                <w:szCs w:val="24"/>
              </w:rPr>
              <w:t>配料</w:t>
            </w:r>
            <w:r>
              <w:rPr>
                <w:rFonts w:asciiTheme="minorEastAsia" w:hAnsiTheme="minorEastAsia" w:eastAsiaTheme="minorEastAsia"/>
                <w:sz w:val="24"/>
                <w:szCs w:val="24"/>
              </w:rPr>
              <w:t>过程会产生粉尘G1；</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混合</w:t>
            </w:r>
            <w:r>
              <w:rPr>
                <w:rFonts w:asciiTheme="minorEastAsia" w:hAnsiTheme="minorEastAsia" w:eastAsiaTheme="minorEastAsia"/>
                <w:sz w:val="24"/>
                <w:szCs w:val="24"/>
              </w:rPr>
              <w:t>搅拌：按一定配比进行</w:t>
            </w:r>
            <w:r>
              <w:rPr>
                <w:rFonts w:hint="eastAsia" w:asciiTheme="minorEastAsia" w:hAnsiTheme="minorEastAsia" w:eastAsiaTheme="minorEastAsia"/>
                <w:sz w:val="24"/>
                <w:szCs w:val="24"/>
              </w:rPr>
              <w:t>人工</w:t>
            </w:r>
            <w:r>
              <w:rPr>
                <w:rFonts w:asciiTheme="minorEastAsia" w:hAnsiTheme="minorEastAsia" w:eastAsiaTheme="minorEastAsia"/>
                <w:sz w:val="24"/>
                <w:szCs w:val="24"/>
              </w:rPr>
              <w:t>配料</w:t>
            </w:r>
            <w:r>
              <w:rPr>
                <w:rFonts w:hint="eastAsia" w:asciiTheme="minorEastAsia" w:hAnsiTheme="minorEastAsia" w:eastAsiaTheme="minorEastAsia"/>
                <w:sz w:val="24"/>
                <w:szCs w:val="24"/>
              </w:rPr>
              <w:t>后</w:t>
            </w:r>
            <w:r>
              <w:rPr>
                <w:rFonts w:asciiTheme="minorEastAsia" w:hAnsiTheme="minorEastAsia" w:eastAsiaTheme="minorEastAsia"/>
                <w:sz w:val="24"/>
                <w:szCs w:val="24"/>
              </w:rPr>
              <w:t>放入搅拌机进行搅拌</w:t>
            </w:r>
            <w:r>
              <w:rPr>
                <w:rFonts w:hint="eastAsia" w:asciiTheme="minorEastAsia" w:hAnsiTheme="minorEastAsia" w:eastAsiaTheme="minorEastAsia"/>
                <w:sz w:val="24"/>
                <w:szCs w:val="24"/>
              </w:rPr>
              <w:t>，</w:t>
            </w:r>
            <w:r>
              <w:rPr>
                <w:rFonts w:asciiTheme="minorEastAsia" w:hAnsiTheme="minorEastAsia" w:eastAsiaTheme="minorEastAsia"/>
                <w:sz w:val="24"/>
                <w:szCs w:val="24"/>
              </w:rPr>
              <w:t>该工段会产生设备噪声、粉尘</w:t>
            </w:r>
            <w:r>
              <w:rPr>
                <w:rFonts w:hint="eastAsia" w:asciiTheme="minorEastAsia" w:hAnsiTheme="minorEastAsia" w:eastAsiaTheme="minorEastAsia"/>
                <w:sz w:val="24"/>
                <w:szCs w:val="24"/>
              </w:rPr>
              <w:t>及非甲烷总烃</w:t>
            </w:r>
            <w:r>
              <w:rPr>
                <w:rFonts w:asciiTheme="minorEastAsia" w:hAnsiTheme="minorEastAsia" w:eastAsiaTheme="minorEastAsia"/>
                <w:sz w:val="24"/>
                <w:szCs w:val="24"/>
              </w:rPr>
              <w:t>；</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冷</w:t>
            </w:r>
            <w:r>
              <w:rPr>
                <w:rFonts w:asciiTheme="minorEastAsia" w:hAnsiTheme="minorEastAsia" w:eastAsiaTheme="minorEastAsia"/>
                <w:sz w:val="24"/>
                <w:szCs w:val="24"/>
              </w:rPr>
              <w:t>压成型：将搅拌后的原料放入模块压型模利用油压机进行压制成型。该工</w:t>
            </w:r>
            <w:r>
              <w:rPr>
                <w:rFonts w:hint="eastAsia" w:asciiTheme="minorEastAsia" w:hAnsiTheme="minorEastAsia" w:eastAsiaTheme="minorEastAsia"/>
                <w:sz w:val="24"/>
                <w:szCs w:val="24"/>
              </w:rPr>
              <w:t>序</w:t>
            </w:r>
            <w:r>
              <w:rPr>
                <w:rFonts w:asciiTheme="minorEastAsia" w:hAnsiTheme="minorEastAsia" w:eastAsiaTheme="minorEastAsia"/>
                <w:sz w:val="24"/>
                <w:szCs w:val="24"/>
              </w:rPr>
              <w:t>产生设备噪声、</w:t>
            </w:r>
            <w:r>
              <w:rPr>
                <w:rFonts w:hint="eastAsia" w:asciiTheme="minorEastAsia" w:hAnsiTheme="minorEastAsia" w:eastAsiaTheme="minorEastAsia"/>
                <w:sz w:val="24"/>
                <w:szCs w:val="24"/>
              </w:rPr>
              <w:t>非甲烷总烃及</w:t>
            </w:r>
            <w:r>
              <w:rPr>
                <w:rFonts w:asciiTheme="minorEastAsia" w:hAnsiTheme="minorEastAsia" w:eastAsiaTheme="minorEastAsia"/>
                <w:sz w:val="24"/>
                <w:szCs w:val="24"/>
              </w:rPr>
              <w:t>废</w:t>
            </w:r>
            <w:r>
              <w:rPr>
                <w:rFonts w:hint="eastAsia" w:asciiTheme="minorEastAsia" w:hAnsiTheme="minorEastAsia" w:eastAsiaTheme="minorEastAsia"/>
                <w:sz w:val="24"/>
                <w:szCs w:val="24"/>
              </w:rPr>
              <w:t>液压油</w:t>
            </w:r>
            <w:r>
              <w:rPr>
                <w:rFonts w:asciiTheme="minorEastAsia" w:hAnsiTheme="minorEastAsia" w:eastAsiaTheme="minorEastAsia"/>
                <w:sz w:val="24"/>
                <w:szCs w:val="24"/>
              </w:rPr>
              <w:t>S1；</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脱模、自然晾干燥</w:t>
            </w:r>
            <w:r>
              <w:rPr>
                <w:rFonts w:asciiTheme="minorEastAsia" w:hAnsiTheme="minorEastAsia" w:eastAsiaTheme="minorEastAsia"/>
                <w:sz w:val="24"/>
                <w:szCs w:val="24"/>
              </w:rPr>
              <w:t>：将油压后</w:t>
            </w:r>
            <w:r>
              <w:rPr>
                <w:rFonts w:hint="eastAsia" w:asciiTheme="minorEastAsia" w:hAnsiTheme="minorEastAsia" w:eastAsiaTheme="minorEastAsia"/>
                <w:sz w:val="24"/>
                <w:szCs w:val="24"/>
              </w:rPr>
              <w:t>成型的</w:t>
            </w:r>
            <w:r>
              <w:rPr>
                <w:rFonts w:asciiTheme="minorEastAsia" w:hAnsiTheme="minorEastAsia" w:eastAsiaTheme="minorEastAsia"/>
                <w:sz w:val="24"/>
                <w:szCs w:val="24"/>
              </w:rPr>
              <w:t>半成品</w:t>
            </w:r>
            <w:r>
              <w:rPr>
                <w:rFonts w:hint="eastAsia" w:asciiTheme="minorEastAsia" w:hAnsiTheme="minorEastAsia" w:eastAsiaTheme="minorEastAsia"/>
                <w:sz w:val="24"/>
                <w:szCs w:val="24"/>
              </w:rPr>
              <w:t>脱模运至风干区自然风干后</w:t>
            </w:r>
            <w:r>
              <w:rPr>
                <w:rFonts w:asciiTheme="minorEastAsia" w:hAnsiTheme="minorEastAsia" w:eastAsiaTheme="minorEastAsia"/>
                <w:sz w:val="24"/>
                <w:szCs w:val="24"/>
              </w:rPr>
              <w:t>即为成品防火模块。该工</w:t>
            </w:r>
            <w:r>
              <w:rPr>
                <w:rFonts w:hint="eastAsia" w:asciiTheme="minorEastAsia" w:hAnsiTheme="minorEastAsia" w:eastAsiaTheme="minorEastAsia"/>
                <w:sz w:val="24"/>
                <w:szCs w:val="24"/>
              </w:rPr>
              <w:t>序</w:t>
            </w:r>
            <w:r>
              <w:rPr>
                <w:rFonts w:asciiTheme="minorEastAsia" w:hAnsiTheme="minorEastAsia" w:eastAsiaTheme="minorEastAsia"/>
                <w:sz w:val="24"/>
                <w:szCs w:val="24"/>
              </w:rPr>
              <w:t>产生</w:t>
            </w:r>
            <w:r>
              <w:rPr>
                <w:rFonts w:hint="eastAsia" w:asciiTheme="minorEastAsia" w:hAnsiTheme="minorEastAsia" w:eastAsiaTheme="minorEastAsia"/>
                <w:sz w:val="24"/>
                <w:szCs w:val="24"/>
              </w:rPr>
              <w:t>非甲烷总烃</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检验、装箱、入库：对成品进行人工抽检后装箱入库。</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物料平衡;</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本项目物料平衡见下图（单位：吨/年）：</w:t>
            </w:r>
          </w:p>
          <w:p>
            <w:pPr>
              <w:pStyle w:val="2"/>
            </w:pPr>
          </w:p>
          <w:p>
            <w:pPr>
              <w:pStyle w:val="2"/>
              <w:rPr>
                <w:sz w:val="28"/>
                <w:szCs w:val="20"/>
              </w:rPr>
            </w:pPr>
            <w:r>
              <mc:AlternateContent>
                <mc:Choice Requires="wpc">
                  <w:drawing>
                    <wp:inline distT="0" distB="0" distL="0" distR="0">
                      <wp:extent cx="5373370" cy="2355850"/>
                      <wp:effectExtent l="0" t="0" r="17780" b="25400"/>
                      <wp:docPr id="49" name="画布 49"/>
                      <wp:cNvGraphicFramePr>
                        <a:graphicFrameLocks xmlns:a="http://schemas.openxmlformats.org/drawingml/2006/main" noMove="1" noResize="1"/>
                      </wp:cNvGraphicFramePr>
                      <a:graphic xmlns:a="http://schemas.openxmlformats.org/drawingml/2006/main">
                        <a:graphicData uri="http://schemas.microsoft.com/office/word/2010/wordprocessingCanvas">
                          <wpc:wpc>
                            <wpc:bg>
                              <a:solidFill>
                                <a:srgbClr val="FFFFFF"/>
                              </a:solidFill>
                            </wpc:bg>
                            <wpc:whole>
                              <a:ln w="3175" cap="flat" cmpd="sng" algn="ctr">
                                <a:solidFill>
                                  <a:srgbClr val="000000"/>
                                </a:solidFill>
                                <a:prstDash val="solid"/>
                                <a:miter lim="800000"/>
                                <a:headEnd type="none" w="med" len="med"/>
                                <a:tailEnd type="none" w="med" len="med"/>
                              </a:ln>
                            </wpc:whole>
                            <wps:wsp>
                              <wps:cNvPr id="3" name="AutoShape 94"/>
                              <wps:cNvCnPr>
                                <a:cxnSpLocks noChangeShapeType="1"/>
                              </wps:cNvCnPr>
                              <wps:spPr bwMode="auto">
                                <a:xfrm>
                                  <a:off x="1041597" y="441758"/>
                                  <a:ext cx="690908" cy="100"/>
                                </a:xfrm>
                                <a:prstGeom prst="straightConnector1">
                                  <a:avLst/>
                                </a:prstGeom>
                                <a:noFill/>
                                <a:ln w="9525">
                                  <a:solidFill>
                                    <a:srgbClr val="000000"/>
                                  </a:solidFill>
                                  <a:round/>
                                  <a:tailEnd type="triangle" w="med" len="med"/>
                                </a:ln>
                              </wps:spPr>
                              <wps:bodyPr/>
                            </wps:wsp>
                            <wps:wsp>
                              <wps:cNvPr id="4" name="Text Box 164"/>
                              <wps:cNvSpPr txBox="1">
                                <a:spLocks noChangeArrowheads="1"/>
                              </wps:cNvSpPr>
                              <wps:spPr bwMode="auto">
                                <a:xfrm>
                                  <a:off x="1141998" y="195290"/>
                                  <a:ext cx="425405" cy="173448"/>
                                </a:xfrm>
                                <a:prstGeom prst="rect">
                                  <a:avLst/>
                                </a:prstGeom>
                                <a:solidFill>
                                  <a:srgbClr val="FFFFFF"/>
                                </a:solidFill>
                                <a:ln>
                                  <a:noFill/>
                                </a:ln>
                              </wps:spPr>
                              <wps:txbx>
                                <w:txbxContent>
                                  <w:p>
                                    <w:pPr>
                                      <w:ind w:firstLine="480"/>
                                    </w:pPr>
                                  </w:p>
                                </w:txbxContent>
                              </wps:txbx>
                              <wps:bodyPr rot="0" vert="horz" wrap="square" lIns="18000" tIns="10800" rIns="18000" bIns="10800" anchor="ctr" anchorCtr="0" upright="1">
                                <a:noAutofit/>
                              </wps:bodyPr>
                            </wps:wsp>
                            <wps:wsp>
                              <wps:cNvPr id="6" name="Text Box 74"/>
                              <wps:cNvSpPr txBox="1">
                                <a:spLocks noChangeArrowheads="1"/>
                              </wps:cNvSpPr>
                              <wps:spPr bwMode="auto">
                                <a:xfrm>
                                  <a:off x="234488" y="1773926"/>
                                  <a:ext cx="813510" cy="329340"/>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ascii="Calibri"/>
                                        <w:sz w:val="21"/>
                                        <w:szCs w:val="21"/>
                                      </w:rPr>
                                      <w:t>阳离子氯丁乳胶</w:t>
                                    </w:r>
                                  </w:p>
                                </w:txbxContent>
                              </wps:txbx>
                              <wps:bodyPr rot="0" vert="horz" wrap="square" lIns="18000" tIns="10800" rIns="18000" bIns="10800" anchor="ctr" anchorCtr="0" upright="1">
                                <a:noAutofit/>
                              </wps:bodyPr>
                            </wps:wsp>
                            <wps:wsp>
                              <wps:cNvPr id="8" name="Text Box 164"/>
                              <wps:cNvSpPr txBox="1">
                                <a:spLocks noChangeArrowheads="1"/>
                              </wps:cNvSpPr>
                              <wps:spPr bwMode="auto">
                                <a:xfrm>
                                  <a:off x="1148898" y="1637988"/>
                                  <a:ext cx="425505" cy="173448"/>
                                </a:xfrm>
                                <a:prstGeom prst="rect">
                                  <a:avLst/>
                                </a:prstGeom>
                                <a:solidFill>
                                  <a:srgbClr val="FFFFFF"/>
                                </a:solidFill>
                                <a:ln>
                                  <a:noFill/>
                                </a:ln>
                              </wps:spPr>
                              <wps:txbx>
                                <w:txbxContent>
                                  <w:p>
                                    <w:pPr>
                                      <w:spacing w:line="240" w:lineRule="exact"/>
                                      <w:jc w:val="center"/>
                                      <w:rPr>
                                        <w:kern w:val="0"/>
                                        <w:sz w:val="21"/>
                                        <w:szCs w:val="21"/>
                                      </w:rPr>
                                    </w:pPr>
                                    <w:r>
                                      <w:rPr>
                                        <w:rFonts w:ascii="Calibri"/>
                                        <w:sz w:val="21"/>
                                        <w:szCs w:val="21"/>
                                      </w:rPr>
                                      <w:t>34.8</w:t>
                                    </w:r>
                                  </w:p>
                                </w:txbxContent>
                              </wps:txbx>
                              <wps:bodyPr rot="0" vert="horz" wrap="square" lIns="18000" tIns="10800" rIns="18000" bIns="10800" anchor="ctr" anchorCtr="0" upright="1">
                                <a:noAutofit/>
                              </wps:bodyPr>
                            </wps:wsp>
                            <wps:wsp>
                              <wps:cNvPr id="11" name="Text Box 74"/>
                              <wps:cNvSpPr txBox="1">
                                <a:spLocks noChangeArrowheads="1"/>
                              </wps:cNvSpPr>
                              <wps:spPr bwMode="auto">
                                <a:xfrm>
                                  <a:off x="1739505" y="297118"/>
                                  <a:ext cx="291403" cy="1778491"/>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ascii="Calibri"/>
                                        <w:sz w:val="21"/>
                                        <w:szCs w:val="21"/>
                                      </w:rPr>
                                      <w:t>搅拌</w:t>
                                    </w:r>
                                  </w:p>
                                </w:txbxContent>
                              </wps:txbx>
                              <wps:bodyPr rot="0" vert="horz" wrap="square" lIns="18000" tIns="10800" rIns="18000" bIns="10800" anchor="ctr" anchorCtr="0" upright="1">
                                <a:noAutofit/>
                              </wps:bodyPr>
                            </wps:wsp>
                            <wps:wsp>
                              <wps:cNvPr id="14" name="AutoShape 94"/>
                              <wps:cNvCnPr>
                                <a:cxnSpLocks noChangeShapeType="1"/>
                              </wps:cNvCnPr>
                              <wps:spPr bwMode="auto">
                                <a:xfrm>
                                  <a:off x="2018209" y="640713"/>
                                  <a:ext cx="690208" cy="100"/>
                                </a:xfrm>
                                <a:prstGeom prst="straightConnector1">
                                  <a:avLst/>
                                </a:prstGeom>
                                <a:noFill/>
                                <a:ln w="9525">
                                  <a:solidFill>
                                    <a:srgbClr val="000000"/>
                                  </a:solidFill>
                                  <a:round/>
                                  <a:tailEnd type="triangle" w="med" len="med"/>
                                </a:ln>
                              </wps:spPr>
                              <wps:bodyPr/>
                            </wps:wsp>
                            <wps:wsp>
                              <wps:cNvPr id="15" name="Text Box 164"/>
                              <wps:cNvSpPr txBox="1">
                                <a:spLocks noChangeArrowheads="1"/>
                              </wps:cNvSpPr>
                              <wps:spPr bwMode="auto">
                                <a:xfrm>
                                  <a:off x="2117717" y="344658"/>
                                  <a:ext cx="512941" cy="223035"/>
                                </a:xfrm>
                                <a:prstGeom prst="rect">
                                  <a:avLst/>
                                </a:prstGeom>
                                <a:solidFill>
                                  <a:srgbClr val="FFFFFF"/>
                                </a:solidFill>
                                <a:ln>
                                  <a:noFill/>
                                </a:ln>
                              </wps:spPr>
                              <wps:txbx>
                                <w:txbxContent>
                                  <w:p>
                                    <w:pPr>
                                      <w:spacing w:line="240" w:lineRule="exact"/>
                                      <w:jc w:val="center"/>
                                      <w:rPr>
                                        <w:kern w:val="0"/>
                                        <w:sz w:val="21"/>
                                        <w:szCs w:val="21"/>
                                      </w:rPr>
                                    </w:pPr>
                                    <w:r>
                                      <w:rPr>
                                        <w:rFonts w:ascii="Calibri"/>
                                        <w:sz w:val="21"/>
                                        <w:szCs w:val="21"/>
                                      </w:rPr>
                                      <w:t>193.689</w:t>
                                    </w:r>
                                  </w:p>
                                </w:txbxContent>
                              </wps:txbx>
                              <wps:bodyPr rot="0" vert="horz" wrap="square" lIns="18000" tIns="10800" rIns="18000" bIns="10800" anchor="ctr" anchorCtr="0" upright="1">
                                <a:noAutofit/>
                              </wps:bodyPr>
                            </wps:wsp>
                            <wps:wsp>
                              <wps:cNvPr id="21" name="Text Box 164"/>
                              <wps:cNvSpPr txBox="1">
                                <a:spLocks noChangeArrowheads="1"/>
                              </wps:cNvSpPr>
                              <wps:spPr bwMode="auto">
                                <a:xfrm>
                                  <a:off x="2752917" y="523430"/>
                                  <a:ext cx="580407" cy="227811"/>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ascii="Calibri"/>
                                        <w:sz w:val="21"/>
                                        <w:szCs w:val="21"/>
                                      </w:rPr>
                                      <w:t>冷压成型</w:t>
                                    </w:r>
                                  </w:p>
                                </w:txbxContent>
                              </wps:txbx>
                              <wps:bodyPr rot="0" vert="horz" wrap="square" lIns="18000" tIns="10800" rIns="18000" bIns="10800" anchor="ctr" anchorCtr="0" upright="1">
                                <a:noAutofit/>
                              </wps:bodyPr>
                            </wps:wsp>
                            <wps:wsp>
                              <wps:cNvPr id="22" name="AutoShape 94"/>
                              <wps:cNvCnPr>
                                <a:cxnSpLocks noChangeShapeType="1"/>
                              </wps:cNvCnPr>
                              <wps:spPr bwMode="auto">
                                <a:xfrm>
                                  <a:off x="2024509" y="1171594"/>
                                  <a:ext cx="690308" cy="100"/>
                                </a:xfrm>
                                <a:prstGeom prst="straightConnector1">
                                  <a:avLst/>
                                </a:prstGeom>
                                <a:noFill/>
                                <a:ln w="9525">
                                  <a:solidFill>
                                    <a:srgbClr val="000000"/>
                                  </a:solidFill>
                                  <a:round/>
                                  <a:tailEnd type="triangle" w="med" len="med"/>
                                </a:ln>
                              </wps:spPr>
                              <wps:bodyPr/>
                            </wps:wsp>
                            <wps:wsp>
                              <wps:cNvPr id="26" name="Text Box 164"/>
                              <wps:cNvSpPr txBox="1">
                                <a:spLocks noChangeArrowheads="1"/>
                              </wps:cNvSpPr>
                              <wps:spPr bwMode="auto">
                                <a:xfrm>
                                  <a:off x="2124210" y="925126"/>
                                  <a:ext cx="425505" cy="173448"/>
                                </a:xfrm>
                                <a:prstGeom prst="rect">
                                  <a:avLst/>
                                </a:prstGeom>
                                <a:solidFill>
                                  <a:srgbClr val="FFFFFF"/>
                                </a:solidFill>
                                <a:ln>
                                  <a:noFill/>
                                </a:ln>
                              </wps:spPr>
                              <wps:txbx>
                                <w:txbxContent>
                                  <w:p>
                                    <w:pPr>
                                      <w:spacing w:line="240" w:lineRule="exact"/>
                                      <w:jc w:val="center"/>
                                      <w:rPr>
                                        <w:kern w:val="0"/>
                                        <w:sz w:val="21"/>
                                        <w:szCs w:val="21"/>
                                      </w:rPr>
                                    </w:pPr>
                                    <w:r>
                                      <w:rPr>
                                        <w:rFonts w:ascii="Calibri"/>
                                        <w:sz w:val="21"/>
                                        <w:szCs w:val="21"/>
                                      </w:rPr>
                                      <w:t>0</w:t>
                                    </w:r>
                                    <w:r>
                                      <w:rPr>
                                        <w:rFonts w:hint="eastAsia" w:ascii="Calibri"/>
                                        <w:sz w:val="21"/>
                                        <w:szCs w:val="21"/>
                                      </w:rPr>
                                      <w:t>.1</w:t>
                                    </w:r>
                                    <w:r>
                                      <w:rPr>
                                        <w:rFonts w:ascii="Calibri"/>
                                        <w:sz w:val="21"/>
                                        <w:szCs w:val="21"/>
                                      </w:rPr>
                                      <w:t>59</w:t>
                                    </w:r>
                                  </w:p>
                                </w:txbxContent>
                              </wps:txbx>
                              <wps:bodyPr rot="0" vert="horz" wrap="square" lIns="18000" tIns="10800" rIns="18000" bIns="10800" anchor="ctr" anchorCtr="0" upright="1">
                                <a:noAutofit/>
                              </wps:bodyPr>
                            </wps:wsp>
                            <wps:wsp>
                              <wps:cNvPr id="33" name="Text Box 164"/>
                              <wps:cNvSpPr txBox="1">
                                <a:spLocks noChangeArrowheads="1"/>
                              </wps:cNvSpPr>
                              <wps:spPr bwMode="auto">
                                <a:xfrm>
                                  <a:off x="2778317" y="1054873"/>
                                  <a:ext cx="823013" cy="218592"/>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ascii="Calibri"/>
                                        <w:sz w:val="21"/>
                                        <w:szCs w:val="21"/>
                                      </w:rPr>
                                      <w:t>布袋除尘器</w:t>
                                    </w:r>
                                  </w:p>
                                </w:txbxContent>
                              </wps:txbx>
                              <wps:bodyPr rot="0" vert="horz" wrap="square" lIns="18000" tIns="10800" rIns="18000" bIns="10800" anchor="ctr" anchorCtr="0" upright="1">
                                <a:noAutofit/>
                              </wps:bodyPr>
                            </wps:wsp>
                            <wps:wsp>
                              <wps:cNvPr id="34" name="AutoShape 94"/>
                              <wps:cNvCnPr>
                                <a:cxnSpLocks noChangeShapeType="1"/>
                              </wps:cNvCnPr>
                              <wps:spPr bwMode="auto">
                                <a:xfrm>
                                  <a:off x="2037209" y="1740776"/>
                                  <a:ext cx="690308" cy="100"/>
                                </a:xfrm>
                                <a:prstGeom prst="straightConnector1">
                                  <a:avLst/>
                                </a:prstGeom>
                                <a:noFill/>
                                <a:ln w="9525">
                                  <a:solidFill>
                                    <a:srgbClr val="000000"/>
                                  </a:solidFill>
                                  <a:round/>
                                  <a:tailEnd type="triangle" w="med" len="med"/>
                                </a:ln>
                              </wps:spPr>
                              <wps:bodyPr/>
                            </wps:wsp>
                            <wps:wsp>
                              <wps:cNvPr id="35" name="Text Box 164"/>
                              <wps:cNvSpPr txBox="1">
                                <a:spLocks noChangeArrowheads="1"/>
                              </wps:cNvSpPr>
                              <wps:spPr bwMode="auto">
                                <a:xfrm>
                                  <a:off x="2117910" y="1513413"/>
                                  <a:ext cx="425505" cy="173448"/>
                                </a:xfrm>
                                <a:prstGeom prst="rect">
                                  <a:avLst/>
                                </a:prstGeom>
                                <a:solidFill>
                                  <a:srgbClr val="FFFFFF"/>
                                </a:solidFill>
                                <a:ln>
                                  <a:noFill/>
                                </a:ln>
                              </wps:spPr>
                              <wps:txbx>
                                <w:txbxContent>
                                  <w:p>
                                    <w:pPr>
                                      <w:spacing w:line="240" w:lineRule="exact"/>
                                      <w:jc w:val="center"/>
                                      <w:rPr>
                                        <w:kern w:val="0"/>
                                        <w:sz w:val="21"/>
                                        <w:szCs w:val="21"/>
                                      </w:rPr>
                                    </w:pPr>
                                    <w:r>
                                      <w:rPr>
                                        <w:rFonts w:ascii="Calibri"/>
                                        <w:sz w:val="21"/>
                                        <w:szCs w:val="21"/>
                                      </w:rPr>
                                      <w:t>0.002</w:t>
                                    </w:r>
                                  </w:p>
                                </w:txbxContent>
                              </wps:txbx>
                              <wps:bodyPr rot="0" vert="horz" wrap="square" lIns="18000" tIns="10800" rIns="18000" bIns="10800" anchor="ctr" anchorCtr="0" upright="1">
                                <a:noAutofit/>
                              </wps:bodyPr>
                            </wps:wsp>
                            <wps:wsp>
                              <wps:cNvPr id="36" name="Text Box 164"/>
                              <wps:cNvSpPr txBox="1">
                                <a:spLocks noChangeArrowheads="1"/>
                              </wps:cNvSpPr>
                              <wps:spPr bwMode="auto">
                                <a:xfrm>
                                  <a:off x="2855742" y="1611840"/>
                                  <a:ext cx="523066" cy="231028"/>
                                </a:xfrm>
                                <a:prstGeom prst="rect">
                                  <a:avLst/>
                                </a:prstGeom>
                                <a:solidFill>
                                  <a:srgbClr val="FFFFFF"/>
                                </a:solidFill>
                                <a:ln>
                                  <a:noFill/>
                                </a:ln>
                              </wps:spPr>
                              <wps:txbx>
                                <w:txbxContent>
                                  <w:p>
                                    <w:pPr>
                                      <w:spacing w:line="240" w:lineRule="exact"/>
                                      <w:jc w:val="center"/>
                                      <w:rPr>
                                        <w:kern w:val="0"/>
                                        <w:sz w:val="21"/>
                                        <w:szCs w:val="21"/>
                                      </w:rPr>
                                    </w:pPr>
                                    <w:r>
                                      <w:rPr>
                                        <w:rFonts w:hint="eastAsia" w:ascii="Calibri"/>
                                        <w:sz w:val="21"/>
                                        <w:szCs w:val="21"/>
                                      </w:rPr>
                                      <w:t>损耗</w:t>
                                    </w:r>
                                  </w:p>
                                </w:txbxContent>
                              </wps:txbx>
                              <wps:bodyPr rot="0" vert="horz" wrap="square" lIns="18000" tIns="10800" rIns="18000" bIns="10800" anchor="ctr" anchorCtr="0" upright="1">
                                <a:noAutofit/>
                              </wps:bodyPr>
                            </wps:wsp>
                            <wps:wsp>
                              <wps:cNvPr id="37" name="Text Box 164"/>
                              <wps:cNvSpPr txBox="1">
                                <a:spLocks noChangeArrowheads="1"/>
                              </wps:cNvSpPr>
                              <wps:spPr bwMode="auto">
                                <a:xfrm>
                                  <a:off x="1186999" y="181986"/>
                                  <a:ext cx="425505" cy="173348"/>
                                </a:xfrm>
                                <a:prstGeom prst="rect">
                                  <a:avLst/>
                                </a:prstGeom>
                                <a:solidFill>
                                  <a:srgbClr val="FFFFFF"/>
                                </a:solidFill>
                                <a:ln>
                                  <a:noFill/>
                                </a:ln>
                              </wps:spPr>
                              <wps:txbx>
                                <w:txbxContent>
                                  <w:p>
                                    <w:pPr>
                                      <w:spacing w:line="240" w:lineRule="exact"/>
                                      <w:jc w:val="center"/>
                                      <w:rPr>
                                        <w:kern w:val="0"/>
                                        <w:sz w:val="21"/>
                                        <w:szCs w:val="21"/>
                                      </w:rPr>
                                    </w:pPr>
                                    <w:r>
                                      <w:rPr>
                                        <w:rFonts w:ascii="Calibri"/>
                                        <w:sz w:val="21"/>
                                        <w:szCs w:val="21"/>
                                      </w:rPr>
                                      <w:t>150</w:t>
                                    </w:r>
                                  </w:p>
                                </w:txbxContent>
                              </wps:txbx>
                              <wps:bodyPr rot="0" vert="horz" wrap="square" lIns="18000" tIns="10800" rIns="18000" bIns="10800" anchor="ctr" anchorCtr="0" upright="1">
                                <a:noAutofit/>
                              </wps:bodyPr>
                            </wps:wsp>
                            <wps:wsp>
                              <wps:cNvPr id="38" name="AutoShape 94"/>
                              <wps:cNvCnPr>
                                <a:cxnSpLocks noChangeShapeType="1"/>
                              </wps:cNvCnPr>
                              <wps:spPr bwMode="auto">
                                <a:xfrm>
                                  <a:off x="1040897" y="1904162"/>
                                  <a:ext cx="690908" cy="100"/>
                                </a:xfrm>
                                <a:prstGeom prst="straightConnector1">
                                  <a:avLst/>
                                </a:prstGeom>
                                <a:noFill/>
                                <a:ln w="9525">
                                  <a:solidFill>
                                    <a:srgbClr val="000000"/>
                                  </a:solidFill>
                                  <a:round/>
                                  <a:tailEnd type="triangle" w="med" len="med"/>
                                </a:ln>
                              </wps:spPr>
                              <wps:bodyPr/>
                            </wps:wsp>
                            <wps:wsp>
                              <wps:cNvPr id="42" name="Text Box 74"/>
                              <wps:cNvSpPr txBox="1">
                                <a:spLocks noChangeArrowheads="1"/>
                              </wps:cNvSpPr>
                              <wps:spPr bwMode="auto">
                                <a:xfrm>
                                  <a:off x="234488" y="333128"/>
                                  <a:ext cx="813410" cy="261672"/>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kern w:val="0"/>
                                        <w:sz w:val="21"/>
                                        <w:szCs w:val="21"/>
                                      </w:rPr>
                                      <w:t>蛭石</w:t>
                                    </w:r>
                                  </w:p>
                                </w:txbxContent>
                              </wps:txbx>
                              <wps:bodyPr rot="0" vert="horz" wrap="square" lIns="18000" tIns="10800" rIns="18000" bIns="10800" anchor="ctr" anchorCtr="0" upright="1">
                                <a:noAutofit/>
                              </wps:bodyPr>
                            </wps:wsp>
                            <wps:wsp>
                              <wps:cNvPr id="43" name="Text Box 74"/>
                              <wps:cNvSpPr txBox="1">
                                <a:spLocks noChangeArrowheads="1"/>
                              </wps:cNvSpPr>
                              <wps:spPr bwMode="auto">
                                <a:xfrm>
                                  <a:off x="241488" y="831066"/>
                                  <a:ext cx="813510" cy="261672"/>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ascii="Calibri"/>
                                        <w:sz w:val="21"/>
                                        <w:szCs w:val="21"/>
                                      </w:rPr>
                                      <w:t>石墨</w:t>
                                    </w:r>
                                  </w:p>
                                </w:txbxContent>
                              </wps:txbx>
                              <wps:bodyPr rot="0" vert="horz" wrap="square" lIns="18000" tIns="10800" rIns="18000" bIns="10800" anchor="ctr" anchorCtr="0" upright="1">
                                <a:noAutofit/>
                              </wps:bodyPr>
                            </wps:wsp>
                            <wps:wsp>
                              <wps:cNvPr id="44" name="Text Box 164"/>
                              <wps:cNvSpPr txBox="1">
                                <a:spLocks noChangeArrowheads="1"/>
                              </wps:cNvSpPr>
                              <wps:spPr bwMode="auto">
                                <a:xfrm>
                                  <a:off x="1155898" y="695128"/>
                                  <a:ext cx="425505" cy="173448"/>
                                </a:xfrm>
                                <a:prstGeom prst="rect">
                                  <a:avLst/>
                                </a:prstGeom>
                                <a:solidFill>
                                  <a:srgbClr val="FFFFFF"/>
                                </a:solidFill>
                                <a:ln>
                                  <a:noFill/>
                                </a:ln>
                              </wps:spPr>
                              <wps:txbx>
                                <w:txbxContent>
                                  <w:p>
                                    <w:pPr>
                                      <w:spacing w:line="240" w:lineRule="exact"/>
                                      <w:jc w:val="center"/>
                                      <w:rPr>
                                        <w:kern w:val="0"/>
                                        <w:sz w:val="21"/>
                                        <w:szCs w:val="21"/>
                                      </w:rPr>
                                    </w:pPr>
                                    <w:r>
                                      <w:rPr>
                                        <w:rFonts w:ascii="Calibri"/>
                                        <w:sz w:val="21"/>
                                        <w:szCs w:val="21"/>
                                      </w:rPr>
                                      <w:t>0</w:t>
                                    </w:r>
                                    <w:r>
                                      <w:rPr>
                                        <w:rFonts w:hint="eastAsia" w:ascii="Calibri"/>
                                        <w:sz w:val="21"/>
                                        <w:szCs w:val="21"/>
                                      </w:rPr>
                                      <w:t>.3</w:t>
                                    </w:r>
                                    <w:r>
                                      <w:rPr>
                                        <w:rFonts w:ascii="Calibri"/>
                                        <w:sz w:val="21"/>
                                        <w:szCs w:val="21"/>
                                      </w:rPr>
                                      <w:t>5</w:t>
                                    </w:r>
                                  </w:p>
                                </w:txbxContent>
                              </wps:txbx>
                              <wps:bodyPr rot="0" vert="horz" wrap="square" lIns="18000" tIns="10800" rIns="18000" bIns="10800" anchor="ctr" anchorCtr="0" upright="1">
                                <a:noAutofit/>
                              </wps:bodyPr>
                            </wps:wsp>
                            <wps:wsp>
                              <wps:cNvPr id="45" name="AutoShape 94"/>
                              <wps:cNvCnPr>
                                <a:cxnSpLocks noChangeShapeType="1"/>
                              </wps:cNvCnPr>
                              <wps:spPr bwMode="auto">
                                <a:xfrm>
                                  <a:off x="1047897" y="961302"/>
                                  <a:ext cx="690908" cy="100"/>
                                </a:xfrm>
                                <a:prstGeom prst="straightConnector1">
                                  <a:avLst/>
                                </a:prstGeom>
                                <a:noFill/>
                                <a:ln w="9525">
                                  <a:solidFill>
                                    <a:srgbClr val="000000"/>
                                  </a:solidFill>
                                  <a:round/>
                                  <a:tailEnd type="triangle" w="med" len="med"/>
                                </a:ln>
                              </wps:spPr>
                              <wps:bodyPr/>
                            </wps:wsp>
                            <wps:wsp>
                              <wps:cNvPr id="46" name="Text Box 74"/>
                              <wps:cNvSpPr txBox="1">
                                <a:spLocks noChangeArrowheads="1"/>
                              </wps:cNvSpPr>
                              <wps:spPr bwMode="auto">
                                <a:xfrm>
                                  <a:off x="234488" y="1316600"/>
                                  <a:ext cx="813510" cy="261672"/>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ascii="Calibri"/>
                                        <w:sz w:val="21"/>
                                        <w:szCs w:val="21"/>
                                      </w:rPr>
                                      <w:t>聚磷酸铵</w:t>
                                    </w:r>
                                  </w:p>
                                </w:txbxContent>
                              </wps:txbx>
                              <wps:bodyPr rot="0" vert="horz" wrap="square" lIns="18000" tIns="10800" rIns="18000" bIns="10800" anchor="ctr" anchorCtr="0" upright="1">
                                <a:noAutofit/>
                              </wps:bodyPr>
                            </wps:wsp>
                            <wps:wsp>
                              <wps:cNvPr id="47" name="Text Box 164"/>
                              <wps:cNvSpPr txBox="1">
                                <a:spLocks noChangeArrowheads="1"/>
                              </wps:cNvSpPr>
                              <wps:spPr bwMode="auto">
                                <a:xfrm>
                                  <a:off x="1148898" y="1180662"/>
                                  <a:ext cx="425505" cy="173448"/>
                                </a:xfrm>
                                <a:prstGeom prst="rect">
                                  <a:avLst/>
                                </a:prstGeom>
                                <a:solidFill>
                                  <a:srgbClr val="FFFFFF"/>
                                </a:solidFill>
                                <a:ln>
                                  <a:noFill/>
                                </a:ln>
                              </wps:spPr>
                              <wps:txbx>
                                <w:txbxContent>
                                  <w:p>
                                    <w:pPr>
                                      <w:spacing w:line="240" w:lineRule="exact"/>
                                      <w:jc w:val="center"/>
                                      <w:rPr>
                                        <w:kern w:val="0"/>
                                        <w:sz w:val="21"/>
                                        <w:szCs w:val="21"/>
                                      </w:rPr>
                                    </w:pPr>
                                    <w:r>
                                      <w:rPr>
                                        <w:kern w:val="0"/>
                                        <w:sz w:val="21"/>
                                        <w:szCs w:val="21"/>
                                      </w:rPr>
                                      <w:t>8.7</w:t>
                                    </w:r>
                                  </w:p>
                                </w:txbxContent>
                              </wps:txbx>
                              <wps:bodyPr rot="0" vert="horz" wrap="square" lIns="18000" tIns="10800" rIns="18000" bIns="10800" anchor="ctr" anchorCtr="0" upright="1">
                                <a:noAutofit/>
                              </wps:bodyPr>
                            </wps:wsp>
                            <wps:wsp>
                              <wps:cNvPr id="48" name="AutoShape 94"/>
                              <wps:cNvCnPr>
                                <a:cxnSpLocks noChangeShapeType="1"/>
                              </wps:cNvCnPr>
                              <wps:spPr bwMode="auto">
                                <a:xfrm>
                                  <a:off x="1040897" y="1446836"/>
                                  <a:ext cx="690908" cy="100"/>
                                </a:xfrm>
                                <a:prstGeom prst="straightConnector1">
                                  <a:avLst/>
                                </a:prstGeom>
                                <a:noFill/>
                                <a:ln w="9525">
                                  <a:solidFill>
                                    <a:srgbClr val="000000"/>
                                  </a:solidFill>
                                  <a:round/>
                                  <a:tailEnd type="triangle" w="med" len="med"/>
                                </a:ln>
                              </wps:spPr>
                              <wps:bodyPr/>
                            </wps:wsp>
                            <wps:wsp>
                              <wps:cNvPr id="50" name="AutoShape 94"/>
                              <wps:cNvCnPr>
                                <a:cxnSpLocks noChangeShapeType="1"/>
                              </wps:cNvCnPr>
                              <wps:spPr bwMode="auto">
                                <a:xfrm>
                                  <a:off x="3333324" y="640567"/>
                                  <a:ext cx="394615" cy="0"/>
                                </a:xfrm>
                                <a:prstGeom prst="straightConnector1">
                                  <a:avLst/>
                                </a:prstGeom>
                                <a:noFill/>
                                <a:ln w="9525">
                                  <a:solidFill>
                                    <a:srgbClr val="000000"/>
                                  </a:solidFill>
                                  <a:round/>
                                  <a:tailEnd type="triangle" w="med" len="med"/>
                                </a:ln>
                              </wps:spPr>
                              <wps:bodyPr/>
                            </wps:wsp>
                            <wps:wsp>
                              <wps:cNvPr id="52" name="Text Box 164"/>
                              <wps:cNvSpPr txBox="1">
                                <a:spLocks noChangeArrowheads="1"/>
                              </wps:cNvSpPr>
                              <wps:spPr bwMode="auto">
                                <a:xfrm>
                                  <a:off x="3735144" y="523428"/>
                                  <a:ext cx="580407" cy="250293"/>
                                </a:xfrm>
                                <a:prstGeom prst="rect">
                                  <a:avLst/>
                                </a:prstGeom>
                                <a:solidFill>
                                  <a:srgbClr val="FFFFFF"/>
                                </a:solidFill>
                                <a:ln w="9525">
                                  <a:solidFill>
                                    <a:srgbClr val="000000"/>
                                  </a:solidFill>
                                  <a:miter lim="800000"/>
                                </a:ln>
                              </wps:spPr>
                              <wps:txbx>
                                <w:txbxContent>
                                  <w:p>
                                    <w:pPr>
                                      <w:spacing w:line="240" w:lineRule="exact"/>
                                      <w:jc w:val="center"/>
                                      <w:rPr>
                                        <w:kern w:val="0"/>
                                        <w:sz w:val="21"/>
                                        <w:szCs w:val="21"/>
                                      </w:rPr>
                                    </w:pPr>
                                    <w:r>
                                      <w:rPr>
                                        <w:rFonts w:hint="eastAsia" w:ascii="Calibri"/>
                                        <w:sz w:val="21"/>
                                        <w:szCs w:val="21"/>
                                      </w:rPr>
                                      <w:t>脱模干燥</w:t>
                                    </w:r>
                                  </w:p>
                                </w:txbxContent>
                              </wps:txbx>
                              <wps:bodyPr rot="0" vert="horz" wrap="square" lIns="18000" tIns="10800" rIns="18000" bIns="10800" anchor="ctr" anchorCtr="0" upright="1">
                                <a:noAutofit/>
                              </wps:bodyPr>
                            </wps:wsp>
                            <wps:wsp>
                              <wps:cNvPr id="53" name="AutoShape 94"/>
                              <wps:cNvCnPr>
                                <a:cxnSpLocks noChangeShapeType="1"/>
                              </wps:cNvCnPr>
                              <wps:spPr bwMode="auto">
                                <a:xfrm>
                                  <a:off x="4300185" y="640567"/>
                                  <a:ext cx="394615" cy="0"/>
                                </a:xfrm>
                                <a:prstGeom prst="straightConnector1">
                                  <a:avLst/>
                                </a:prstGeom>
                                <a:noFill/>
                                <a:ln w="9525">
                                  <a:solidFill>
                                    <a:srgbClr val="000000"/>
                                  </a:solidFill>
                                  <a:round/>
                                  <a:tailEnd type="triangle" w="med" len="med"/>
                                </a:ln>
                              </wps:spPr>
                              <wps:bodyPr/>
                            </wps:wsp>
                            <wps:wsp>
                              <wps:cNvPr id="54" name="Text Box 164"/>
                              <wps:cNvSpPr txBox="1">
                                <a:spLocks noChangeArrowheads="1"/>
                              </wps:cNvSpPr>
                              <wps:spPr bwMode="auto">
                                <a:xfrm>
                                  <a:off x="4694809" y="523428"/>
                                  <a:ext cx="580407" cy="250293"/>
                                </a:xfrm>
                                <a:prstGeom prst="rect">
                                  <a:avLst/>
                                </a:prstGeom>
                                <a:solidFill>
                                  <a:srgbClr val="FFFFFF"/>
                                </a:solidFill>
                                <a:ln w="9525">
                                  <a:noFill/>
                                  <a:miter lim="800000"/>
                                </a:ln>
                              </wps:spPr>
                              <wps:txbx>
                                <w:txbxContent>
                                  <w:p>
                                    <w:pPr>
                                      <w:spacing w:line="240" w:lineRule="exact"/>
                                      <w:jc w:val="center"/>
                                      <w:rPr>
                                        <w:kern w:val="0"/>
                                        <w:sz w:val="21"/>
                                        <w:szCs w:val="21"/>
                                      </w:rPr>
                                    </w:pPr>
                                    <w:r>
                                      <w:rPr>
                                        <w:rFonts w:hint="eastAsia" w:ascii="Calibri"/>
                                        <w:sz w:val="21"/>
                                        <w:szCs w:val="21"/>
                                      </w:rPr>
                                      <w:t>成品</w:t>
                                    </w:r>
                                  </w:p>
                                </w:txbxContent>
                              </wps:txbx>
                              <wps:bodyPr rot="0" vert="horz" wrap="square" lIns="18000" tIns="10800" rIns="18000" bIns="10800" anchor="ctr" anchorCtr="0" upright="1">
                                <a:noAutofit/>
                              </wps:bodyPr>
                            </wps:wsp>
                          </wpc:wpc>
                        </a:graphicData>
                      </a:graphic>
                    </wp:inline>
                  </w:drawing>
                </mc:Choice>
                <mc:Fallback>
                  <w:pict>
                    <v:group id="_x0000_s1026" o:spid="_x0000_s1026" o:spt="203" style="height:185.5pt;width:423.1pt;" coordsize="5373858,2355850" editas="canvas" o:gfxdata="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">
                      <o:lock v:ext="edit" aspectratio="f"/>
                      <v:shape id="_x0000_s1026" o:spid="_x0000_s1026" style="position:absolute;left:0;top:0;height:2355850;width:5373858;" fillcolor="#FFFFFF" filled="t" stroked="t" coordsize="21600,21600" o:gfxdata="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">
                        <v:fill on="t" focussize="0,0"/>
                        <v:stroke weight="0.25pt" color="#000000" miterlimit="8" joinstyle="miter"/>
                        <v:imagedata o:title=""/>
                        <o:lock v:ext="edit" position="t" aspectratio="f"/>
                      </v:shape>
                      <v:shape id="AutoShape 94" o:spid="_x0000_s1026" o:spt="32" type="#_x0000_t32" style="position:absolute;left:1041597;top:441758;height:100;width:690908;"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82el3XAAAA&#10;BQEAAA8AAAAAAAAAAQAgAAAAIgAAAGRycy9kb3ducmV2LnhtbFBLAQIUABQAAAAIAIdO4kBavW8y&#10;5QEAAJ8DAAAOAAAAAAAAAAEAIAAAACYBAABkcnMvZTJvRG9jLnhtbFBLBQYAAAAABgAGAFkBAAB9&#10;BQAAAAA=&#10;">
                        <v:fill on="f" focussize="0,0"/>
                        <v:stroke color="#000000" joinstyle="round" endarrow="block"/>
                        <v:imagedata o:title=""/>
                        <o:lock v:ext="edit" aspectratio="f"/>
                      </v:shape>
                      <v:shape id="Text Box 164" o:spid="_x0000_s1026" o:spt="202" type="#_x0000_t202" style="position:absolute;left:1141998;top:195290;height:173448;width:425405;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GJyQPUAAAABQEAAA8AAAAAAAAAAQAgAAAAIgAAAGRy&#10;cy9kb3ducmV2LnhtbFBLAQIUABQAAAAIAIdO4kDfyWvACQIAAP0DAAAOAAAAAAAAAAEAIAAAACMB&#10;AABkcnMvZTJvRG9jLnhtbFBLBQYAAAAABgAGAFkBAACeBQAAAAA=&#10;">
                        <v:fill on="t" focussize="0,0"/>
                        <v:stroke on="f"/>
                        <v:imagedata o:title=""/>
                        <o:lock v:ext="edit" aspectratio="f"/>
                        <v:textbox inset="0.5mm,0.3mm,0.5mm,0.3mm">
                          <w:txbxContent>
                            <w:p>
                              <w:pPr>
                                <w:ind w:firstLine="480"/>
                              </w:pPr>
                            </w:p>
                          </w:txbxContent>
                        </v:textbox>
                      </v:shape>
                      <v:shape id="Text Box 74" o:spid="_x0000_s1026" o:spt="202" type="#_x0000_t202" style="position:absolute;left:234488;top:1773926;height:329340;width:813510;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iZOCtQAAAAFAQAA&#10;DwAAAAAAAAABACAAAAAiAAAAZHJzL2Rvd25yZXYueG1sUEsBAhQAFAAAAAgAh07iQKT6KTQdAgAA&#10;RQQAAA4AAAAAAAAAAQAgAAAAIwEAAGRycy9lMm9Eb2MueG1sUEsFBgAAAAAGAAYAWQEAALIFAAAA&#10;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阳离子氯丁乳胶</w:t>
                              </w:r>
                            </w:p>
                          </w:txbxContent>
                        </v:textbox>
                      </v:shape>
                      <v:shape id="Text Box 164" o:spid="_x0000_s1026" o:spt="202" type="#_x0000_t202" style="position:absolute;left:1148898;top:1637988;height:173448;width:425505;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BickD1AAAAAUBAAAPAAAAAAAAAAEAIAAAACIAAABk&#10;cnMvZG93bnJldi54bWxQSwECFAAUAAAACACHTuJAuBE9qgoCAAD+AwAADgAAAAAAAAABACAAAAAj&#10;AQAAZHJzL2Uyb0RvYy54bWxQSwUGAAAAAAYABgBZAQAAnwUAAAAA&#10;">
                        <v:fill on="t" focussize="0,0"/>
                        <v:stroke on="f"/>
                        <v:imagedata o:title=""/>
                        <o:lock v:ext="edit" aspectratio="f"/>
                        <v:textbox inset="0.5mm,0.3mm,0.5mm,0.3mm">
                          <w:txbxContent>
                            <w:p>
                              <w:pPr>
                                <w:spacing w:line="240" w:lineRule="exact"/>
                                <w:jc w:val="center"/>
                                <w:rPr>
                                  <w:kern w:val="0"/>
                                  <w:sz w:val="21"/>
                                  <w:szCs w:val="21"/>
                                </w:rPr>
                              </w:pPr>
                              <w:r>
                                <w:rPr>
                                  <w:rFonts w:ascii="Calibri"/>
                                  <w:sz w:val="21"/>
                                  <w:szCs w:val="21"/>
                                </w:rPr>
                                <w:t>34.8</w:t>
                              </w:r>
                            </w:p>
                          </w:txbxContent>
                        </v:textbox>
                      </v:shape>
                      <v:shape id="Text Box 74" o:spid="_x0000_s1026" o:spt="202" type="#_x0000_t202" style="position:absolute;left:1739505;top:297118;height:1778491;width:291403;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qJk4K1AAAAAUB&#10;AAAPAAAAAAAAAAEAIAAAACIAAABkcnMvZG93bnJldi54bWxQSwECFAAUAAAACACHTuJAraonIh8C&#10;AABHBAAADgAAAAAAAAABACAAAAAjAQAAZHJzL2Uyb0RvYy54bWxQSwUGAAAAAAYABgBZAQAAtAUA&#10;AA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搅拌</w:t>
                              </w:r>
                            </w:p>
                          </w:txbxContent>
                        </v:textbox>
                      </v:shape>
                      <v:shape id="AutoShape 94" o:spid="_x0000_s1026" o:spt="32" type="#_x0000_t32" style="position:absolute;left:2018209;top:640713;height:100;width:690208;"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82el3XAAAA&#10;BQEAAA8AAAAAAAAAAQAgAAAAIgAAAGRycy9kb3ducmV2LnhtbFBLAQIUABQAAAAIAIdO4kCvEhR9&#10;5QEAAKADAAAOAAAAAAAAAAEAIAAAACYBAABkcnMvZTJvRG9jLnhtbFBLBQYAAAAABgAGAFkBAAB9&#10;BQAAAAA=&#10;">
                        <v:fill on="f" focussize="0,0"/>
                        <v:stroke color="#000000" joinstyle="round" endarrow="block"/>
                        <v:imagedata o:title=""/>
                        <o:lock v:ext="edit" aspectratio="f"/>
                      </v:shape>
                      <v:shape id="Text Box 164" o:spid="_x0000_s1026" o:spt="202" type="#_x0000_t202" style="position:absolute;left:2117717;top:344658;height:223035;width:512941;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GJyQPUAAAABQEAAA8AAAAAAAAAAQAgAAAAIgAA&#10;AGRycy9kb3ducmV2LnhtbFBLAQIUABQAAAAIAIdO4kBm2GjIDAIAAP4DAAAOAAAAAAAAAAEAIAAA&#10;ACMBAABkcnMvZTJvRG9jLnhtbFBLBQYAAAAABgAGAFkBAAChBQAAAAA=&#10;">
                        <v:fill on="t" focussize="0,0"/>
                        <v:stroke on="f"/>
                        <v:imagedata o:title=""/>
                        <o:lock v:ext="edit" aspectratio="f"/>
                        <v:textbox inset="0.5mm,0.3mm,0.5mm,0.3mm">
                          <w:txbxContent>
                            <w:p>
                              <w:pPr>
                                <w:spacing w:line="240" w:lineRule="exact"/>
                                <w:jc w:val="center"/>
                                <w:rPr>
                                  <w:kern w:val="0"/>
                                  <w:sz w:val="21"/>
                                  <w:szCs w:val="21"/>
                                </w:rPr>
                              </w:pPr>
                              <w:r>
                                <w:rPr>
                                  <w:rFonts w:ascii="Calibri"/>
                                  <w:sz w:val="21"/>
                                  <w:szCs w:val="21"/>
                                </w:rPr>
                                <w:t>193.689</w:t>
                              </w:r>
                            </w:p>
                          </w:txbxContent>
                        </v:textbox>
                      </v:shape>
                      <v:shape id="Text Box 164" o:spid="_x0000_s1026" o:spt="202" type="#_x0000_t202" style="position:absolute;left:2752917;top:523430;height:227811;width:580407;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omTgrUAAAABQEA&#10;AA8AAAAAAAAAAQAgAAAAIgAAAGRycy9kb3ducmV2LnhtbFBLAQIUABQAAAAIAIdO4kAGy0AvHgIA&#10;AEcEAAAOAAAAAAAAAAEAIAAAACMBAABkcnMvZTJvRG9jLnhtbFBLBQYAAAAABgAGAFkBAACzBQAA&#10;A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冷压成型</w:t>
                              </w:r>
                            </w:p>
                          </w:txbxContent>
                        </v:textbox>
                      </v:shape>
                      <v:shape id="AutoShape 94" o:spid="_x0000_s1026" o:spt="32" type="#_x0000_t32" style="position:absolute;left:2024509;top:1171594;height:100;width:690308;"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82el3XAAAA&#10;BQEAAA8AAAAAAAAAAQAgAAAAIgAAAGRycy9kb3ducmV2LnhtbFBLAQIUABQAAAAIAIdO4kBhUg3W&#10;5QEAAKEDAAAOAAAAAAAAAAEAIAAAACYBAABkcnMvZTJvRG9jLnhtbFBLBQYAAAAABgAGAFkBAAB9&#10;BQAAAAA=&#10;">
                        <v:fill on="f" focussize="0,0"/>
                        <v:stroke color="#000000" joinstyle="round" endarrow="block"/>
                        <v:imagedata o:title=""/>
                        <o:lock v:ext="edit" aspectratio="f"/>
                      </v:shape>
                      <v:shape id="Text Box 164" o:spid="_x0000_s1026" o:spt="202" type="#_x0000_t202" style="position:absolute;left:2124210;top:925126;height:173448;width:425505;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YnJA9QAAAAFAQAADwAAAAAAAAABACAAAAAiAAAA&#10;ZHJzL2Rvd25yZXYueG1sUEsBAhQAFAAAAAgAh07iQE0E8KcLAgAA/gMAAA4AAAAAAAAAAQAgAAAA&#10;IwEAAGRycy9lMm9Eb2MueG1sUEsFBgAAAAAGAAYAWQEAAKAFAAAAAA==&#10;">
                        <v:fill on="t" focussize="0,0"/>
                        <v:stroke on="f"/>
                        <v:imagedata o:title=""/>
                        <o:lock v:ext="edit" aspectratio="f"/>
                        <v:textbox inset="0.5mm,0.3mm,0.5mm,0.3mm">
                          <w:txbxContent>
                            <w:p>
                              <w:pPr>
                                <w:spacing w:line="240" w:lineRule="exact"/>
                                <w:jc w:val="center"/>
                                <w:rPr>
                                  <w:kern w:val="0"/>
                                  <w:sz w:val="21"/>
                                  <w:szCs w:val="21"/>
                                </w:rPr>
                              </w:pPr>
                              <w:r>
                                <w:rPr>
                                  <w:rFonts w:ascii="Calibri"/>
                                  <w:sz w:val="21"/>
                                  <w:szCs w:val="21"/>
                                </w:rPr>
                                <w:t>0</w:t>
                              </w:r>
                              <w:r>
                                <w:rPr>
                                  <w:rFonts w:hint="eastAsia" w:ascii="Calibri"/>
                                  <w:sz w:val="21"/>
                                  <w:szCs w:val="21"/>
                                </w:rPr>
                                <w:t>.1</w:t>
                              </w:r>
                              <w:r>
                                <w:rPr>
                                  <w:rFonts w:ascii="Calibri"/>
                                  <w:sz w:val="21"/>
                                  <w:szCs w:val="21"/>
                                </w:rPr>
                                <w:t>59</w:t>
                              </w:r>
                            </w:p>
                          </w:txbxContent>
                        </v:textbox>
                      </v:shape>
                      <v:shape id="Text Box 164" o:spid="_x0000_s1026" o:spt="202" type="#_x0000_t202" style="position:absolute;left:2778317;top:1054873;height:218592;width:823013;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omTgrUAAAA&#10;BQEAAA8AAAAAAAAAAQAgAAAAIgAAAGRycy9kb3ducmV2LnhtbFBLAQIUABQAAAAIAIdO4kAcf7a+&#10;IQIAAEgEAAAOAAAAAAAAAAEAIAAAACMBAABkcnMvZTJvRG9jLnhtbFBLBQYAAAAABgAGAFkBAAC2&#10;BQAAA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布袋除尘器</w:t>
                              </w:r>
                            </w:p>
                          </w:txbxContent>
                        </v:textbox>
                      </v:shape>
                      <v:shape id="AutoShape 94" o:spid="_x0000_s1026" o:spt="32" type="#_x0000_t32" style="position:absolute;left:2037209;top:1740776;height:100;width:690308;"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zZ6XdcA&#10;AAAFAQAADwAAAAAAAAABACAAAAAiAAAAZHJzL2Rvd25yZXYueG1sUEsBAhQAFAAAAAgAh07iQI+H&#10;0YrnAQAAoQMAAA4AAAAAAAAAAQAgAAAAJgEAAGRycy9lMm9Eb2MueG1sUEsFBgAAAAAGAAYAWQEA&#10;AH8FAAAAAA==&#10;">
                        <v:fill on="f" focussize="0,0"/>
                        <v:stroke color="#000000" joinstyle="round" endarrow="block"/>
                        <v:imagedata o:title=""/>
                        <o:lock v:ext="edit" aspectratio="f"/>
                      </v:shape>
                      <v:shape id="Text Box 164" o:spid="_x0000_s1026" o:spt="202" type="#_x0000_t202" style="position:absolute;left:2117910;top:1513413;height:173448;width:425505;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GJyQPUAAAABQEAAA8AAAAAAAAAAQAgAAAAIgAA&#10;AGRycy9kb3ducmV2LnhtbFBLAQIUABQAAAAIAIdO4kCv5JAEDAIAAP8DAAAOAAAAAAAAAAEAIAAA&#10;ACMBAABkcnMvZTJvRG9jLnhtbFBLBQYAAAAABgAGAFkBAAChBQAAAAA=&#10;">
                        <v:fill on="t" focussize="0,0"/>
                        <v:stroke on="f"/>
                        <v:imagedata o:title=""/>
                        <o:lock v:ext="edit" aspectratio="f"/>
                        <v:textbox inset="0.5mm,0.3mm,0.5mm,0.3mm">
                          <w:txbxContent>
                            <w:p>
                              <w:pPr>
                                <w:spacing w:line="240" w:lineRule="exact"/>
                                <w:jc w:val="center"/>
                                <w:rPr>
                                  <w:kern w:val="0"/>
                                  <w:sz w:val="21"/>
                                  <w:szCs w:val="21"/>
                                </w:rPr>
                              </w:pPr>
                              <w:r>
                                <w:rPr>
                                  <w:rFonts w:ascii="Calibri"/>
                                  <w:sz w:val="21"/>
                                  <w:szCs w:val="21"/>
                                </w:rPr>
                                <w:t>0.002</w:t>
                              </w:r>
                            </w:p>
                          </w:txbxContent>
                        </v:textbox>
                      </v:shape>
                      <v:shape id="Text Box 164" o:spid="_x0000_s1026" o:spt="202" type="#_x0000_t202" style="position:absolute;left:2855742;top:1611840;height:231028;width:523066;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YnJA9QAAAAFAQAADwAAAAAAAAABACAAAAAiAAAA&#10;ZHJzL2Rvd25yZXYueG1sUEsBAhQAFAAAAAgAh07iQCOQF0YLAgAA/wMAAA4AAAAAAAAAAQAgAAAA&#10;IwEAAGRycy9lMm9Eb2MueG1sUEsFBgAAAAAGAAYAWQEAAKAFAAAAAA==&#10;">
                        <v:fill on="t" focussize="0,0"/>
                        <v:stroke on="f"/>
                        <v:imagedata o:title=""/>
                        <o:lock v:ext="edit" aspectratio="f"/>
                        <v:textbox inset="0.5mm,0.3mm,0.5mm,0.3mm">
                          <w:txbxContent>
                            <w:p>
                              <w:pPr>
                                <w:spacing w:line="240" w:lineRule="exact"/>
                                <w:jc w:val="center"/>
                                <w:rPr>
                                  <w:kern w:val="0"/>
                                  <w:sz w:val="21"/>
                                  <w:szCs w:val="21"/>
                                </w:rPr>
                              </w:pPr>
                              <w:r>
                                <w:rPr>
                                  <w:rFonts w:hint="eastAsia" w:ascii="Calibri"/>
                                  <w:sz w:val="21"/>
                                  <w:szCs w:val="21"/>
                                </w:rPr>
                                <w:t>损耗</w:t>
                              </w:r>
                            </w:p>
                          </w:txbxContent>
                        </v:textbox>
                      </v:shape>
                      <v:shape id="Text Box 164" o:spid="_x0000_s1026" o:spt="202" type="#_x0000_t202" style="position:absolute;left:1186999;top:181986;height:173348;width:425505;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YnJA9QAAAAFAQAADwAAAAAAAAABACAAAAAiAAAA&#10;ZHJzL2Rvd25yZXYueG1sUEsBAhQAFAAAAAgAh07iQCd+QiILAgAA/gMAAA4AAAAAAAAAAQAgAAAA&#10;IwEAAGRycy9lMm9Eb2MueG1sUEsFBgAAAAAGAAYAWQEAAKAFAAAAAA==&#10;">
                        <v:fill on="t" focussize="0,0"/>
                        <v:stroke on="f"/>
                        <v:imagedata o:title=""/>
                        <o:lock v:ext="edit" aspectratio="f"/>
                        <v:textbox inset="0.5mm,0.3mm,0.5mm,0.3mm">
                          <w:txbxContent>
                            <w:p>
                              <w:pPr>
                                <w:spacing w:line="240" w:lineRule="exact"/>
                                <w:jc w:val="center"/>
                                <w:rPr>
                                  <w:kern w:val="0"/>
                                  <w:sz w:val="21"/>
                                  <w:szCs w:val="21"/>
                                </w:rPr>
                              </w:pPr>
                              <w:r>
                                <w:rPr>
                                  <w:rFonts w:ascii="Calibri"/>
                                  <w:sz w:val="21"/>
                                  <w:szCs w:val="21"/>
                                </w:rPr>
                                <w:t>150</w:t>
                              </w:r>
                            </w:p>
                          </w:txbxContent>
                        </v:textbox>
                      </v:shape>
                      <v:shape id="AutoShape 94" o:spid="_x0000_s1026" o:spt="32" type="#_x0000_t32" style="position:absolute;left:1040897;top:1904162;height:100;width:690908;"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vzZ6XdcAAAAF&#10;AQAADwAAAAAAAAABACAAAAAiAAAAZHJzL2Rvd25yZXYueG1sUEsBAhQAFAAAAAgAh07iQOfvOp7k&#10;AQAAoQMAAA4AAAAAAAAAAQAgAAAAJgEAAGRycy9lMm9Eb2MueG1sUEsFBgAAAAAGAAYAWQEAAHwF&#10;AAAAAA==&#10;">
                        <v:fill on="f" focussize="0,0"/>
                        <v:stroke color="#000000" joinstyle="round" endarrow="block"/>
                        <v:imagedata o:title=""/>
                        <o:lock v:ext="edit" aspectratio="f"/>
                      </v:shape>
                      <v:shape id="Text Box 74" o:spid="_x0000_s1026" o:spt="202" type="#_x0000_t202" style="position:absolute;left:234488;top:333128;height:261672;width:813410;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omTgrUAAAABQEA&#10;AA8AAAAAAAAAAQAgAAAAIgAAAGRycy9kb3ducmV2LnhtbFBLAQIUABQAAAAIAIdO4kBGdbiYHgIA&#10;AEUEAAAOAAAAAAAAAAEAIAAAACMBAABkcnMvZTJvRG9jLnhtbFBLBQYAAAAABgAGAFkBAACzBQAA&#10;A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kern w:val="0"/>
                                  <w:sz w:val="21"/>
                                  <w:szCs w:val="21"/>
                                </w:rPr>
                                <w:t>蛭石</w:t>
                              </w:r>
                            </w:p>
                          </w:txbxContent>
                        </v:textbox>
                      </v:shape>
                      <v:shape id="Text Box 74" o:spid="_x0000_s1026" o:spt="202" type="#_x0000_t202" style="position:absolute;left:241488;top:831066;height:261672;width:813510;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iZOCtQAAAAFAQAA&#10;DwAAAAAAAAABACAAAAAiAAAAZHJzL2Rvd25yZXYueG1sUEsBAhQAFAAAAAgAh07iQF1DCfsdAgAA&#10;RQQAAA4AAAAAAAAAAQAgAAAAIwEAAGRycy9lMm9Eb2MueG1sUEsFBgAAAAAGAAYAWQEAALIFAAAA&#10;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石墨</w:t>
                              </w:r>
                            </w:p>
                          </w:txbxContent>
                        </v:textbox>
                      </v:shape>
                      <v:shape id="Text Box 164" o:spid="_x0000_s1026" o:spt="202" type="#_x0000_t202" style="position:absolute;left:1155898;top:695128;height:173448;width:425505;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YnJA9QAAAAFAQAADwAAAAAAAAABACAAAAAiAAAA&#10;ZHJzL2Rvd25yZXYueG1sUEsBAhQAFAAAAAgAh07iQJAtUvoLAgAA/gMAAA4AAAAAAAAAAQAgAAAA&#10;IwEAAGRycy9lMm9Eb2MueG1sUEsFBgAAAAAGAAYAWQEAAKAFAAAAAA==&#10;">
                        <v:fill on="t" focussize="0,0"/>
                        <v:stroke on="f"/>
                        <v:imagedata o:title=""/>
                        <o:lock v:ext="edit" aspectratio="f"/>
                        <v:textbox inset="0.5mm,0.3mm,0.5mm,0.3mm">
                          <w:txbxContent>
                            <w:p>
                              <w:pPr>
                                <w:spacing w:line="240" w:lineRule="exact"/>
                                <w:jc w:val="center"/>
                                <w:rPr>
                                  <w:kern w:val="0"/>
                                  <w:sz w:val="21"/>
                                  <w:szCs w:val="21"/>
                                </w:rPr>
                              </w:pPr>
                              <w:r>
                                <w:rPr>
                                  <w:rFonts w:ascii="Calibri"/>
                                  <w:sz w:val="21"/>
                                  <w:szCs w:val="21"/>
                                </w:rPr>
                                <w:t>0</w:t>
                              </w:r>
                              <w:r>
                                <w:rPr>
                                  <w:rFonts w:hint="eastAsia" w:ascii="Calibri"/>
                                  <w:sz w:val="21"/>
                                  <w:szCs w:val="21"/>
                                </w:rPr>
                                <w:t>.3</w:t>
                              </w:r>
                              <w:r>
                                <w:rPr>
                                  <w:rFonts w:ascii="Calibri"/>
                                  <w:sz w:val="21"/>
                                  <w:szCs w:val="21"/>
                                </w:rPr>
                                <w:t>5</w:t>
                              </w:r>
                            </w:p>
                          </w:txbxContent>
                        </v:textbox>
                      </v:shape>
                      <v:shape id="AutoShape 94" o:spid="_x0000_s1026" o:spt="32" type="#_x0000_t32" style="position:absolute;left:1047897;top:961302;height:100;width:690908;"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Nnpd1wAA&#10;AAUBAAAPAAAAAAAAAAEAIAAAACIAAABkcnMvZG93bnJldi54bWxQSwECFAAUAAAACACHTuJASC/k&#10;WeYBAACgAwAADgAAAAAAAAABACAAAAAmAQAAZHJzL2Uyb0RvYy54bWxQSwUGAAAAAAYABgBZAQAA&#10;fgUAAAAA&#10;">
                        <v:fill on="f" focussize="0,0"/>
                        <v:stroke color="#000000" joinstyle="round" endarrow="block"/>
                        <v:imagedata o:title=""/>
                        <o:lock v:ext="edit" aspectratio="f"/>
                      </v:shape>
                      <v:shape id="Text Box 74" o:spid="_x0000_s1026" o:spt="202" type="#_x0000_t202" style="position:absolute;left:234488;top:1316600;height:261672;width:813510;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iZOCtQAAAAFAQAA&#10;DwAAAAAAAAABACAAAAAiAAAAZHJzL2Rvd25yZXYueG1sUEsBAhQAFAAAAAgAh07iQByc+fQdAgAA&#10;RgQAAA4AAAAAAAAAAQAgAAAAIwEAAGRycy9lMm9Eb2MueG1sUEsFBgAAAAAGAAYAWQEAALIFAAAA&#10;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聚磷酸铵</w:t>
                              </w:r>
                            </w:p>
                          </w:txbxContent>
                        </v:textbox>
                      </v:shape>
                      <v:shape id="Text Box 164" o:spid="_x0000_s1026" o:spt="202" type="#_x0000_t202" style="position:absolute;left:1148898;top:1180662;height:173448;width:425505;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YnJA9QAAAAFAQAADwAAAAAAAAABACAAAAAiAAAA&#10;ZHJzL2Rvd25yZXYueG1sUEsBAhQAFAAAAAgAh07iQJTkfOgLAgAA/wMAAA4AAAAAAAAAAQAgAAAA&#10;IwEAAGRycy9lMm9Eb2MueG1sUEsFBgAAAAAGAAYAWQEAAKAFAAAAAA==&#10;">
                        <v:fill on="t" focussize="0,0"/>
                        <v:stroke on="f"/>
                        <v:imagedata o:title=""/>
                        <o:lock v:ext="edit" aspectratio="f"/>
                        <v:textbox inset="0.5mm,0.3mm,0.5mm,0.3mm">
                          <w:txbxContent>
                            <w:p>
                              <w:pPr>
                                <w:spacing w:line="240" w:lineRule="exact"/>
                                <w:jc w:val="center"/>
                                <w:rPr>
                                  <w:kern w:val="0"/>
                                  <w:sz w:val="21"/>
                                  <w:szCs w:val="21"/>
                                </w:rPr>
                              </w:pPr>
                              <w:r>
                                <w:rPr>
                                  <w:kern w:val="0"/>
                                  <w:sz w:val="21"/>
                                  <w:szCs w:val="21"/>
                                </w:rPr>
                                <w:t>8.7</w:t>
                              </w:r>
                            </w:p>
                          </w:txbxContent>
                        </v:textbox>
                      </v:shape>
                      <v:shape id="AutoShape 94" o:spid="_x0000_s1026" o:spt="32" type="#_x0000_t32" style="position:absolute;left:1040897;top:1446836;height:100;width:690908;"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82el3XAAAA&#10;BQEAAA8AAAAAAAAAAQAgAAAAIgAAAGRycy9kb3ducmV2LnhtbFBLAQIUABQAAAAIAIdO4kBQmkK9&#10;5QEAAKEDAAAOAAAAAAAAAAEAIAAAACYBAABkcnMvZTJvRG9jLnhtbFBLBQYAAAAABgAGAFkBAAB9&#10;BQAAAAA=&#10;">
                        <v:fill on="f" focussize="0,0"/>
                        <v:stroke color="#000000" joinstyle="round" endarrow="block"/>
                        <v:imagedata o:title=""/>
                        <o:lock v:ext="edit" aspectratio="f"/>
                      </v:shape>
                      <v:shape id="AutoShape 94" o:spid="_x0000_s1026" o:spt="32" type="#_x0000_t32" style="position:absolute;left:3333324;top:640567;height:0;width:394615;"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82el3XAAAABQEA&#10;AA8AAAAAAAAAAQAgAAAAIgAAAGRycy9kb3ducmV2LnhtbFBLAQIUABQAAAAIAIdO4kCqrEUD4gEA&#10;AJ4DAAAOAAAAAAAAAAEAIAAAACYBAABkcnMvZTJvRG9jLnhtbFBLBQYAAAAABgAGAFkBAAB6BQAA&#10;AAA=&#10;">
                        <v:fill on="f" focussize="0,0"/>
                        <v:stroke color="#000000" joinstyle="round" endarrow="block"/>
                        <v:imagedata o:title=""/>
                        <o:lock v:ext="edit" aspectratio="f"/>
                      </v:shape>
                      <v:shape id="Text Box 164" o:spid="_x0000_s1026" o:spt="202" type="#_x0000_t202" style="position:absolute;left:3735144;top:523428;height:250293;width:580407;v-text-anchor:middle;" fillcolor="#FFFFFF" filled="t" stroked="t" coordsize="21600,21600" o:gfxdata="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qJk4K1AAAAAUB&#10;AAAPAAAAAAAAAAEAIAAAACIAAABkcnMvZG93bnJldi54bWxQSwECFAAUAAAACACHTuJAxUzgrR8C&#10;AABHBAAADgAAAAAAAAABACAAAAAjAQAAZHJzL2Uyb0RvYy54bWxQSwUGAAAAAAYABgBZAQAAtAUA&#10;AAAA&#10;">
                        <v:fill on="t" focussize="0,0"/>
                        <v:stroke color="#000000"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脱模干燥</w:t>
                              </w:r>
                            </w:p>
                          </w:txbxContent>
                        </v:textbox>
                      </v:shape>
                      <v:shape id="AutoShape 94" o:spid="_x0000_s1026" o:spt="32" type="#_x0000_t32" style="position:absolute;left:4300185;top:640567;height:0;width:394615;" filled="f" stroked="t" coordsize="21600,21600" o:gfxdata="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vzZ6XdcAAAAF&#10;AQAADwAAAAAAAAABACAAAAAiAAAAZHJzL2Rvd25yZXYueG1sUEsBAhQAFAAAAAgAh07iQK+VRvDk&#10;AQAAngMAAA4AAAAAAAAAAQAgAAAAJgEAAGRycy9lMm9Eb2MueG1sUEsFBgAAAAAGAAYAWQEAAHwF&#10;AAAAAA==&#10;">
                        <v:fill on="f" focussize="0,0"/>
                        <v:stroke color="#000000" joinstyle="round" endarrow="block"/>
                        <v:imagedata o:title=""/>
                        <o:lock v:ext="edit" aspectratio="f"/>
                      </v:shape>
                      <v:shape id="Text Box 164" o:spid="_x0000_s1026" o:spt="202" type="#_x0000_t202" style="position:absolute;left:4694809;top:523428;height:250293;width:580407;v-text-anchor:middle;" fillcolor="#FFFFFF" filled="t" stroked="f" coordsize="21600,21600" o:gfxdata="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BickD1AAAAAUB&#10;AAAPAAAAAAAAAAEAIAAAACIAAABkcnMvZG93bnJldi54bWxQSwECFAAUAAAACACHTuJAxaWW3B8C&#10;AAAeBAAADgAAAAAAAAABACAAAAAjAQAAZHJzL2Uyb0RvYy54bWxQSwUGAAAAAAYABgBZAQAAtAUA&#10;AAAA&#10;">
                        <v:fill on="t" focussize="0,0"/>
                        <v:stroke on="f" miterlimit="8" joinstyle="miter"/>
                        <v:imagedata o:title=""/>
                        <o:lock v:ext="edit" aspectratio="f"/>
                        <v:textbox inset="0.5mm,0.3mm,0.5mm,0.3mm">
                          <w:txbxContent>
                            <w:p>
                              <w:pPr>
                                <w:spacing w:line="240" w:lineRule="exact"/>
                                <w:jc w:val="center"/>
                                <w:rPr>
                                  <w:kern w:val="0"/>
                                  <w:sz w:val="21"/>
                                  <w:szCs w:val="21"/>
                                </w:rPr>
                              </w:pPr>
                              <w:r>
                                <w:rPr>
                                  <w:rFonts w:hint="eastAsia" w:ascii="Calibri"/>
                                  <w:sz w:val="21"/>
                                  <w:szCs w:val="21"/>
                                </w:rPr>
                                <w:t>成品</w:t>
                              </w:r>
                            </w:p>
                          </w:txbxContent>
                        </v:textbox>
                      </v:shape>
                      <w10:wrap type="none"/>
                      <w10:anchorlock/>
                    </v:group>
                  </w:pict>
                </mc:Fallback>
              </mc:AlternateContent>
            </w:r>
          </w:p>
          <w:p/>
          <w:p/>
          <w:p/>
          <w:p>
            <w:pPr>
              <w:tabs>
                <w:tab w:val="left" w:pos="809"/>
              </w:tabs>
            </w:pPr>
            <w:r>
              <w:tab/>
            </w:r>
          </w:p>
          <w:p>
            <w:pPr>
              <w:tabs>
                <w:tab w:val="left" w:pos="809"/>
              </w:tabs>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4" w:hRule="atLeast"/>
        </w:trPr>
        <w:tc>
          <w:tcPr>
            <w:tcW w:w="8720" w:type="dxa"/>
          </w:tcPr>
          <w:p>
            <w:pPr>
              <w:pStyle w:val="36"/>
              <w:spacing w:line="360" w:lineRule="auto"/>
              <w:ind w:firstLine="0" w:firstLineChars="0"/>
              <w:rPr>
                <w:rFonts w:ascii="宋体" w:hAnsi="宋体"/>
                <w:b/>
              </w:rPr>
            </w:pPr>
            <w:r>
              <w:rPr>
                <w:rFonts w:hint="eastAsia" w:ascii="宋体" w:hAnsi="宋体"/>
                <w:b/>
              </w:rPr>
              <w:t>主要污染工序</w:t>
            </w:r>
          </w:p>
          <w:p>
            <w:pPr>
              <w:pStyle w:val="36"/>
              <w:spacing w:line="360" w:lineRule="auto"/>
              <w:ind w:firstLine="0" w:firstLineChars="0"/>
              <w:rPr>
                <w:rFonts w:ascii="宋体" w:hAnsi="宋体"/>
                <w:b/>
              </w:rPr>
            </w:pPr>
            <w:r>
              <w:rPr>
                <w:rFonts w:hint="eastAsia" w:ascii="宋体" w:hAnsi="宋体"/>
                <w:b/>
              </w:rPr>
              <w:t>施工期</w:t>
            </w:r>
          </w:p>
          <w:p>
            <w:pPr>
              <w:pStyle w:val="36"/>
              <w:spacing w:line="360" w:lineRule="auto"/>
              <w:ind w:firstLine="480"/>
              <w:rPr>
                <w:rFonts w:ascii="宋体" w:hAnsi="宋体"/>
                <w:bCs/>
              </w:rPr>
            </w:pPr>
            <w:r>
              <w:rPr>
                <w:rFonts w:hint="eastAsia" w:ascii="宋体" w:hAnsi="宋体"/>
                <w:bCs/>
              </w:rPr>
              <w:t>本项目租用现有厂区的厂房进行建设，无土建工程，仅为设备的安装和调试，对周围环境影响较小。</w:t>
            </w:r>
          </w:p>
          <w:p>
            <w:pPr>
              <w:pStyle w:val="36"/>
              <w:spacing w:line="360" w:lineRule="auto"/>
              <w:ind w:firstLine="0" w:firstLineChars="0"/>
              <w:rPr>
                <w:rFonts w:ascii="宋体" w:hAnsi="宋体"/>
                <w:b/>
              </w:rPr>
            </w:pPr>
            <w:r>
              <w:rPr>
                <w:rFonts w:hint="eastAsia" w:ascii="宋体" w:hAnsi="宋体"/>
                <w:b/>
              </w:rPr>
              <w:t>营运期</w:t>
            </w:r>
          </w:p>
          <w:p>
            <w:pPr>
              <w:pStyle w:val="36"/>
              <w:spacing w:line="360" w:lineRule="auto"/>
              <w:ind w:firstLine="480"/>
              <w:rPr>
                <w:rFonts w:ascii="宋体" w:hAnsi="宋体"/>
                <w:bCs/>
              </w:rPr>
            </w:pPr>
            <w:r>
              <w:rPr>
                <w:rFonts w:ascii="宋体" w:hAnsi="宋体"/>
                <w:bCs/>
              </w:rPr>
              <w:t>1</w:t>
            </w:r>
            <w:r>
              <w:rPr>
                <w:rFonts w:hint="eastAsia" w:ascii="宋体" w:hAnsi="宋体"/>
                <w:bCs/>
              </w:rPr>
              <w:t>、废气：</w:t>
            </w:r>
          </w:p>
          <w:p>
            <w:pPr>
              <w:pStyle w:val="36"/>
              <w:spacing w:line="360" w:lineRule="auto"/>
              <w:ind w:firstLine="480"/>
              <w:rPr>
                <w:rFonts w:ascii="宋体" w:hAnsi="宋体"/>
                <w:bCs/>
              </w:rPr>
            </w:pPr>
            <w:r>
              <w:rPr>
                <w:rFonts w:hint="eastAsia" w:ascii="宋体" w:hAnsi="宋体"/>
                <w:bCs/>
              </w:rPr>
              <w:t>(</w:t>
            </w:r>
            <w:r>
              <w:rPr>
                <w:rFonts w:ascii="宋体" w:hAnsi="宋体"/>
                <w:bCs/>
              </w:rPr>
              <w:t>1)</w:t>
            </w:r>
            <w:r>
              <w:rPr>
                <w:rFonts w:hint="eastAsia" w:ascii="宋体" w:hAnsi="宋体"/>
                <w:bCs/>
              </w:rPr>
              <w:t>粉尘</w:t>
            </w:r>
          </w:p>
          <w:p>
            <w:pPr>
              <w:pStyle w:val="36"/>
              <w:spacing w:line="360" w:lineRule="auto"/>
              <w:ind w:firstLine="480"/>
              <w:rPr>
                <w:rFonts w:ascii="宋体" w:hAnsi="宋体"/>
                <w:bCs/>
              </w:rPr>
            </w:pPr>
            <w:r>
              <w:rPr>
                <w:rFonts w:hint="eastAsia" w:ascii="宋体" w:hAnsi="宋体"/>
                <w:bCs/>
              </w:rPr>
              <w:t>本项目营运期间产生的主要废气有配料过程产生的颗粒物</w:t>
            </w:r>
            <w:r>
              <w:rPr>
                <w:rFonts w:ascii="宋体" w:hAnsi="宋体"/>
                <w:bCs/>
              </w:rPr>
              <w:t>G1</w:t>
            </w:r>
            <w:r>
              <w:rPr>
                <w:rFonts w:hint="eastAsia" w:ascii="宋体" w:hAnsi="宋体"/>
                <w:bCs/>
              </w:rPr>
              <w:t>、混合搅拌过程产生的粉尘</w:t>
            </w:r>
            <w:r>
              <w:rPr>
                <w:rFonts w:ascii="宋体" w:hAnsi="宋体"/>
                <w:bCs/>
              </w:rPr>
              <w:t>G2</w:t>
            </w:r>
            <w:r>
              <w:rPr>
                <w:rFonts w:hint="eastAsia" w:ascii="宋体" w:hAnsi="宋体"/>
                <w:bCs/>
              </w:rPr>
              <w:t>。</w:t>
            </w:r>
          </w:p>
          <w:p>
            <w:pPr>
              <w:pStyle w:val="36"/>
              <w:spacing w:line="360" w:lineRule="auto"/>
              <w:ind w:firstLine="480"/>
              <w:rPr>
                <w:rFonts w:ascii="宋体" w:hAnsi="宋体"/>
                <w:bCs/>
              </w:rPr>
            </w:pPr>
            <w:r>
              <w:rPr>
                <w:rFonts w:hint="eastAsia" w:ascii="宋体" w:hAnsi="宋体"/>
                <w:bCs/>
              </w:rPr>
              <w:t>①配料过程产生的粉尘</w:t>
            </w:r>
            <w:r>
              <w:rPr>
                <w:rFonts w:ascii="宋体" w:hAnsi="宋体"/>
                <w:bCs/>
              </w:rPr>
              <w:t>G1</w:t>
            </w:r>
          </w:p>
          <w:p>
            <w:pPr>
              <w:pStyle w:val="36"/>
              <w:spacing w:line="360" w:lineRule="auto"/>
              <w:ind w:firstLine="480"/>
              <w:rPr>
                <w:rFonts w:ascii="宋体" w:hAnsi="宋体"/>
                <w:bCs/>
              </w:rPr>
            </w:pPr>
            <w:r>
              <w:rPr>
                <w:rFonts w:hint="eastAsia" w:ascii="宋体" w:hAnsi="宋体"/>
                <w:bCs/>
              </w:rPr>
              <w:t>本项目类比《成都豫隆防火材料有限公司防火材料生产项目》，类比分析结果见表</w:t>
            </w:r>
            <w:r>
              <w:rPr>
                <w:rFonts w:ascii="宋体" w:hAnsi="宋体"/>
                <w:bCs/>
              </w:rPr>
              <w:t>5-2</w:t>
            </w:r>
            <w:r>
              <w:rPr>
                <w:rFonts w:hint="eastAsia" w:ascii="宋体" w:hAnsi="宋体"/>
                <w:bCs/>
              </w:rPr>
              <w:t>。</w:t>
            </w:r>
          </w:p>
          <w:p>
            <w:pPr>
              <w:pStyle w:val="36"/>
              <w:spacing w:line="360" w:lineRule="auto"/>
              <w:ind w:firstLine="480"/>
              <w:jc w:val="center"/>
              <w:rPr>
                <w:rFonts w:ascii="宋体" w:hAnsi="宋体"/>
                <w:bCs/>
              </w:rPr>
            </w:pPr>
            <w:r>
              <w:rPr>
                <w:rFonts w:hint="eastAsia" w:ascii="宋体" w:hAnsi="宋体"/>
                <w:bCs/>
              </w:rPr>
              <w:t>表</w:t>
            </w:r>
            <w:r>
              <w:rPr>
                <w:rFonts w:ascii="宋体" w:hAnsi="宋体"/>
                <w:bCs/>
              </w:rPr>
              <w:t xml:space="preserve">5-2 </w:t>
            </w:r>
            <w:r>
              <w:rPr>
                <w:rFonts w:hint="eastAsia" w:ascii="宋体" w:hAnsi="宋体"/>
                <w:bCs/>
              </w:rPr>
              <w:t>与同类型项目类比分析</w:t>
            </w:r>
          </w:p>
          <w:tbl>
            <w:tblPr>
              <w:tblStyle w:val="2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971"/>
              <w:gridCol w:w="1351"/>
              <w:gridCol w:w="1341"/>
              <w:gridCol w:w="1123"/>
              <w:gridCol w:w="1132"/>
              <w:gridCol w:w="11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45"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项目名称</w:t>
                  </w:r>
                </w:p>
              </w:tc>
              <w:tc>
                <w:tcPr>
                  <w:tcW w:w="3663" w:type="dxa"/>
                  <w:gridSpan w:val="3"/>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防火材料生产项目</w:t>
                  </w:r>
                </w:p>
              </w:tc>
              <w:tc>
                <w:tcPr>
                  <w:tcW w:w="3412" w:type="dxa"/>
                  <w:gridSpan w:val="3"/>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本项目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5"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工艺</w:t>
                  </w:r>
                </w:p>
              </w:tc>
              <w:tc>
                <w:tcPr>
                  <w:tcW w:w="3663" w:type="dxa"/>
                  <w:gridSpan w:val="3"/>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称重</w:t>
                  </w:r>
                </w:p>
              </w:tc>
              <w:tc>
                <w:tcPr>
                  <w:tcW w:w="3412" w:type="dxa"/>
                  <w:gridSpan w:val="3"/>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称重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45"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原料</w:t>
                  </w:r>
                </w:p>
              </w:tc>
              <w:tc>
                <w:tcPr>
                  <w:tcW w:w="97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蛭石</w:t>
                  </w:r>
                </w:p>
              </w:tc>
              <w:tc>
                <w:tcPr>
                  <w:tcW w:w="135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石膏粉</w:t>
                  </w:r>
                </w:p>
              </w:tc>
              <w:tc>
                <w:tcPr>
                  <w:tcW w:w="134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阻燃剂（聚磷酸铵）</w:t>
                  </w:r>
                </w:p>
              </w:tc>
              <w:tc>
                <w:tcPr>
                  <w:tcW w:w="1123"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蛭石</w:t>
                  </w:r>
                </w:p>
              </w:tc>
              <w:tc>
                <w:tcPr>
                  <w:tcW w:w="1132"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石墨</w:t>
                  </w:r>
                </w:p>
              </w:tc>
              <w:tc>
                <w:tcPr>
                  <w:tcW w:w="1157"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聚磷酸铵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45"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使用量（t/a）</w:t>
                  </w:r>
                </w:p>
              </w:tc>
              <w:tc>
                <w:tcPr>
                  <w:tcW w:w="97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1200</w:t>
                  </w:r>
                </w:p>
              </w:tc>
              <w:tc>
                <w:tcPr>
                  <w:tcW w:w="135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300</w:t>
                  </w:r>
                </w:p>
              </w:tc>
              <w:tc>
                <w:tcPr>
                  <w:tcW w:w="134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200</w:t>
                  </w:r>
                </w:p>
              </w:tc>
              <w:tc>
                <w:tcPr>
                  <w:tcW w:w="1123"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150</w:t>
                  </w:r>
                </w:p>
              </w:tc>
              <w:tc>
                <w:tcPr>
                  <w:tcW w:w="1132"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0.348</w:t>
                  </w:r>
                </w:p>
              </w:tc>
              <w:tc>
                <w:tcPr>
                  <w:tcW w:w="1157"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45"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污染因子</w:t>
                  </w:r>
                </w:p>
              </w:tc>
              <w:tc>
                <w:tcPr>
                  <w:tcW w:w="97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蛭石</w:t>
                  </w:r>
                </w:p>
              </w:tc>
              <w:tc>
                <w:tcPr>
                  <w:tcW w:w="135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石膏粉</w:t>
                  </w:r>
                </w:p>
              </w:tc>
              <w:tc>
                <w:tcPr>
                  <w:tcW w:w="134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阻燃剂（聚磷酸铵）</w:t>
                  </w:r>
                </w:p>
              </w:tc>
              <w:tc>
                <w:tcPr>
                  <w:tcW w:w="1123"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蛭石</w:t>
                  </w:r>
                </w:p>
              </w:tc>
              <w:tc>
                <w:tcPr>
                  <w:tcW w:w="1132"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石墨</w:t>
                  </w:r>
                </w:p>
              </w:tc>
              <w:tc>
                <w:tcPr>
                  <w:tcW w:w="1157"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聚磷酸铵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45"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产污系数</w:t>
                  </w:r>
                </w:p>
              </w:tc>
              <w:tc>
                <w:tcPr>
                  <w:tcW w:w="97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0.1‰</w:t>
                  </w:r>
                </w:p>
              </w:tc>
              <w:tc>
                <w:tcPr>
                  <w:tcW w:w="135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0.1‰</w:t>
                  </w:r>
                </w:p>
              </w:tc>
              <w:tc>
                <w:tcPr>
                  <w:tcW w:w="134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0.1‰</w:t>
                  </w:r>
                </w:p>
              </w:tc>
              <w:tc>
                <w:tcPr>
                  <w:tcW w:w="1123"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0.1‰</w:t>
                  </w:r>
                </w:p>
              </w:tc>
              <w:tc>
                <w:tcPr>
                  <w:tcW w:w="1132"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0.1‰</w:t>
                  </w:r>
                </w:p>
              </w:tc>
              <w:tc>
                <w:tcPr>
                  <w:tcW w:w="1157"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145"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污染物产生量（t/a）</w:t>
                  </w:r>
                </w:p>
              </w:tc>
              <w:tc>
                <w:tcPr>
                  <w:tcW w:w="97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0.12</w:t>
                  </w:r>
                </w:p>
              </w:tc>
              <w:tc>
                <w:tcPr>
                  <w:tcW w:w="135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0.03</w:t>
                  </w:r>
                </w:p>
              </w:tc>
              <w:tc>
                <w:tcPr>
                  <w:tcW w:w="1341"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0.02</w:t>
                  </w:r>
                </w:p>
              </w:tc>
              <w:tc>
                <w:tcPr>
                  <w:tcW w:w="1123"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0.015</w:t>
                  </w:r>
                </w:p>
              </w:tc>
              <w:tc>
                <w:tcPr>
                  <w:tcW w:w="1132"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0.0000348</w:t>
                  </w:r>
                </w:p>
              </w:tc>
              <w:tc>
                <w:tcPr>
                  <w:tcW w:w="1157" w:type="dxa"/>
                  <w:tcBorders>
                    <w:tl2br w:val="nil"/>
                    <w:tr2bl w:val="nil"/>
                  </w:tcBorders>
                  <w:shd w:val="clear" w:color="auto" w:fill="auto"/>
                  <w:vAlign w:val="center"/>
                </w:tcPr>
                <w:p>
                  <w:pPr>
                    <w:spacing w:line="24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0.00087</w:t>
                  </w:r>
                </w:p>
              </w:tc>
            </w:tr>
          </w:tbl>
          <w:p>
            <w:pPr>
              <w:pStyle w:val="36"/>
              <w:spacing w:line="360" w:lineRule="auto"/>
              <w:ind w:firstLine="480"/>
              <w:rPr>
                <w:rFonts w:ascii="宋体" w:hAnsi="宋体"/>
                <w:bCs/>
              </w:rPr>
            </w:pPr>
          </w:p>
          <w:p>
            <w:pPr>
              <w:pStyle w:val="36"/>
              <w:spacing w:line="360" w:lineRule="auto"/>
              <w:ind w:firstLine="480"/>
              <w:rPr>
                <w:rFonts w:ascii="宋体" w:hAnsi="宋体"/>
                <w:bCs/>
              </w:rPr>
            </w:pPr>
            <w:r>
              <w:rPr>
                <w:rFonts w:hint="eastAsia" w:ascii="宋体" w:hAnsi="宋体"/>
                <w:bCs/>
              </w:rPr>
              <w:t>根据上表，项目在称重过程中会产生粉尘，粉尘产生源强参考《逸散性工业粉尘控制技术》及类比《成都豫隆防火材料有限公司防火材料生产项目》称重过程产生的粉尘，约占原料用量的</w:t>
            </w:r>
            <w:r>
              <w:rPr>
                <w:rFonts w:ascii="宋体" w:hAnsi="宋体"/>
                <w:bCs/>
              </w:rPr>
              <w:t>0.1‰</w:t>
            </w:r>
            <w:r>
              <w:rPr>
                <w:rFonts w:hint="eastAsia" w:ascii="宋体" w:hAnsi="宋体"/>
                <w:bCs/>
              </w:rPr>
              <w:t>，项目蛭石、石墨、聚磷酸铵年用量为</w:t>
            </w:r>
            <w:r>
              <w:rPr>
                <w:rFonts w:ascii="宋体" w:hAnsi="宋体"/>
                <w:bCs/>
              </w:rPr>
              <w:t>159.05t</w:t>
            </w:r>
            <w:r>
              <w:rPr>
                <w:rFonts w:hint="eastAsia" w:ascii="宋体" w:hAnsi="宋体"/>
                <w:bCs/>
              </w:rPr>
              <w:t>，则称重过程产生的粉尘为</w:t>
            </w:r>
            <w:r>
              <w:rPr>
                <w:rFonts w:ascii="宋体" w:hAnsi="宋体"/>
                <w:bCs/>
              </w:rPr>
              <w:t>0.0159t/a</w:t>
            </w:r>
            <w:r>
              <w:rPr>
                <w:rFonts w:hint="eastAsia" w:ascii="宋体" w:hAnsi="宋体"/>
                <w:bCs/>
              </w:rPr>
              <w:t>，产生量较小，无组织散发在工段周围。</w:t>
            </w:r>
          </w:p>
          <w:p>
            <w:pPr>
              <w:pStyle w:val="36"/>
              <w:spacing w:line="360" w:lineRule="auto"/>
              <w:ind w:firstLine="480"/>
              <w:rPr>
                <w:rFonts w:ascii="宋体" w:hAnsi="宋体"/>
                <w:bCs/>
              </w:rPr>
            </w:pPr>
            <w:r>
              <w:rPr>
                <w:rFonts w:hint="eastAsia" w:ascii="宋体" w:hAnsi="宋体"/>
                <w:bCs/>
              </w:rPr>
              <w:t>②配料、搅拌过程产生的粉尘</w:t>
            </w:r>
            <w:r>
              <w:rPr>
                <w:rFonts w:ascii="宋体" w:hAnsi="宋体"/>
                <w:bCs/>
              </w:rPr>
              <w:t>G2</w:t>
            </w:r>
          </w:p>
          <w:p>
            <w:pPr>
              <w:pStyle w:val="36"/>
              <w:spacing w:line="360" w:lineRule="auto"/>
              <w:ind w:firstLine="480"/>
              <w:rPr>
                <w:rFonts w:ascii="宋体" w:hAnsi="宋体"/>
                <w:bCs/>
              </w:rPr>
            </w:pPr>
            <w:r>
              <w:rPr>
                <w:rFonts w:hint="eastAsia" w:ascii="宋体" w:hAnsi="宋体"/>
                <w:bCs/>
              </w:rPr>
              <w:t>类比同规模企业，项目配料、搅拌过程产生的粉尘约占原料用量的</w:t>
            </w:r>
            <w:r>
              <w:rPr>
                <w:rFonts w:ascii="宋体" w:hAnsi="宋体"/>
                <w:bCs/>
              </w:rPr>
              <w:t>0.1%</w:t>
            </w:r>
            <w:r>
              <w:rPr>
                <w:rFonts w:hint="eastAsia" w:ascii="宋体" w:hAnsi="宋体"/>
                <w:bCs/>
              </w:rPr>
              <w:t>，项目蛭石、石墨、聚磷酸铵原料用量为</w:t>
            </w:r>
            <w:r>
              <w:rPr>
                <w:rFonts w:ascii="宋体" w:hAnsi="宋体"/>
                <w:bCs/>
              </w:rPr>
              <w:t>159.05</w:t>
            </w:r>
            <w:r>
              <w:rPr>
                <w:rFonts w:hint="eastAsia" w:ascii="宋体" w:hAnsi="宋体"/>
                <w:bCs/>
              </w:rPr>
              <w:t>吨，则配料、搅拌过程产生的粉尘为</w:t>
            </w:r>
            <w:r>
              <w:rPr>
                <w:rFonts w:ascii="宋体" w:hAnsi="宋体"/>
                <w:bCs/>
              </w:rPr>
              <w:t>0.159</w:t>
            </w:r>
            <w:r>
              <w:rPr>
                <w:rFonts w:hint="eastAsia" w:ascii="宋体" w:hAnsi="宋体"/>
                <w:bCs/>
              </w:rPr>
              <w:t>吨，在配料、搅拌工段上方设置集气罩，经集气罩收集后通过布袋除尘器处理后于</w:t>
            </w:r>
            <w:r>
              <w:rPr>
                <w:rFonts w:ascii="宋体" w:hAnsi="宋体"/>
                <w:bCs/>
              </w:rPr>
              <w:t>1#</w:t>
            </w:r>
            <w:r>
              <w:rPr>
                <w:rFonts w:hint="eastAsia" w:ascii="宋体" w:hAnsi="宋体"/>
                <w:bCs/>
              </w:rPr>
              <w:t>15</w:t>
            </w:r>
            <w:r>
              <w:rPr>
                <w:rFonts w:ascii="宋体" w:hAnsi="宋体"/>
                <w:bCs/>
              </w:rPr>
              <w:t>m</w:t>
            </w:r>
            <w:r>
              <w:rPr>
                <w:rFonts w:hint="eastAsia" w:ascii="宋体" w:hAnsi="宋体"/>
                <w:bCs/>
              </w:rPr>
              <w:t>高排气筒排放，集气罩收集效率</w:t>
            </w:r>
            <w:r>
              <w:rPr>
                <w:rFonts w:ascii="宋体" w:hAnsi="宋体"/>
                <w:bCs/>
              </w:rPr>
              <w:t>90%</w:t>
            </w:r>
            <w:r>
              <w:rPr>
                <w:rFonts w:hint="eastAsia" w:ascii="宋体" w:hAnsi="宋体"/>
                <w:bCs/>
              </w:rPr>
              <w:t>，布袋除尘装置收集效率达</w:t>
            </w:r>
            <w:r>
              <w:rPr>
                <w:rFonts w:ascii="宋体" w:hAnsi="宋体"/>
                <w:bCs/>
              </w:rPr>
              <w:t>99%</w:t>
            </w:r>
            <w:r>
              <w:rPr>
                <w:rFonts w:hint="eastAsia" w:ascii="宋体" w:hAnsi="宋体"/>
                <w:bCs/>
              </w:rPr>
              <w:t>，所以有组织粉尘排放量为</w:t>
            </w:r>
            <w:r>
              <w:rPr>
                <w:rFonts w:ascii="宋体" w:hAnsi="宋体"/>
                <w:bCs/>
              </w:rPr>
              <w:t>0.159×90%×</w:t>
            </w:r>
            <w:r>
              <w:rPr>
                <w:rFonts w:hint="eastAsia" w:ascii="宋体" w:hAnsi="宋体"/>
                <w:bCs/>
              </w:rPr>
              <w:t>（</w:t>
            </w:r>
            <w:r>
              <w:rPr>
                <w:rFonts w:ascii="宋体" w:hAnsi="宋体"/>
                <w:bCs/>
              </w:rPr>
              <w:t>1-99%</w:t>
            </w:r>
            <w:r>
              <w:rPr>
                <w:rFonts w:hint="eastAsia" w:ascii="宋体" w:hAnsi="宋体"/>
                <w:bCs/>
              </w:rPr>
              <w:t>）</w:t>
            </w:r>
            <w:r>
              <w:rPr>
                <w:rFonts w:ascii="宋体" w:hAnsi="宋体"/>
                <w:bCs/>
              </w:rPr>
              <w:t>=0.001431t/a</w:t>
            </w:r>
            <w:r>
              <w:rPr>
                <w:rFonts w:hint="eastAsia" w:ascii="宋体" w:hAnsi="宋体"/>
                <w:bCs/>
              </w:rPr>
              <w:t>，无组织粉尘量为</w:t>
            </w:r>
            <w:r>
              <w:rPr>
                <w:rFonts w:ascii="宋体" w:hAnsi="宋体"/>
                <w:bCs/>
              </w:rPr>
              <w:t>0.159×</w:t>
            </w:r>
            <w:r>
              <w:rPr>
                <w:rFonts w:hint="eastAsia" w:ascii="宋体" w:hAnsi="宋体"/>
                <w:bCs/>
              </w:rPr>
              <w:t>（</w:t>
            </w:r>
            <w:r>
              <w:rPr>
                <w:rFonts w:ascii="宋体" w:hAnsi="宋体"/>
                <w:bCs/>
              </w:rPr>
              <w:t>1-90%</w:t>
            </w:r>
            <w:r>
              <w:rPr>
                <w:rFonts w:hint="eastAsia" w:ascii="宋体" w:hAnsi="宋体"/>
                <w:bCs/>
              </w:rPr>
              <w:t>）</w:t>
            </w:r>
            <w:r>
              <w:rPr>
                <w:rFonts w:ascii="宋体" w:hAnsi="宋体"/>
                <w:bCs/>
              </w:rPr>
              <w:t>=0.0159t/a</w:t>
            </w:r>
            <w:r>
              <w:rPr>
                <w:rFonts w:hint="eastAsia" w:ascii="宋体" w:hAnsi="宋体"/>
                <w:bCs/>
              </w:rPr>
              <w:t>，在车间内自然沉降，不排放。设备年基数按</w:t>
            </w:r>
            <w:r>
              <w:rPr>
                <w:rFonts w:ascii="宋体" w:hAnsi="宋体"/>
                <w:bCs/>
              </w:rPr>
              <w:t>1200</w:t>
            </w:r>
            <w:r>
              <w:rPr>
                <w:rFonts w:hint="eastAsia" w:ascii="宋体" w:hAnsi="宋体"/>
                <w:bCs/>
              </w:rPr>
              <w:t>小时计，有组织废气排放速率</w:t>
            </w:r>
            <w:r>
              <w:rPr>
                <w:rFonts w:ascii="宋体" w:hAnsi="宋体"/>
                <w:bCs/>
              </w:rPr>
              <w:t>0.00</w:t>
            </w:r>
            <w:r>
              <w:rPr>
                <w:rFonts w:hint="eastAsia" w:ascii="宋体" w:hAnsi="宋体"/>
                <w:bCs/>
              </w:rPr>
              <w:t>12</w:t>
            </w:r>
            <w:r>
              <w:rPr>
                <w:rFonts w:ascii="宋体" w:hAnsi="宋体"/>
                <w:bCs/>
              </w:rPr>
              <w:t>kg/h</w:t>
            </w:r>
            <w:r>
              <w:rPr>
                <w:rFonts w:hint="eastAsia" w:ascii="宋体" w:hAnsi="宋体"/>
                <w:bCs/>
              </w:rPr>
              <w:t>，风机总风量约</w:t>
            </w:r>
            <w:r>
              <w:rPr>
                <w:rFonts w:ascii="宋体" w:hAnsi="宋体"/>
                <w:bCs/>
              </w:rPr>
              <w:t>30000m</w:t>
            </w:r>
            <w:r>
              <w:rPr>
                <w:rFonts w:ascii="宋体" w:hAnsi="宋体"/>
                <w:bCs/>
                <w:vertAlign w:val="superscript"/>
              </w:rPr>
              <w:t>3</w:t>
            </w:r>
            <w:r>
              <w:rPr>
                <w:rFonts w:ascii="宋体" w:hAnsi="宋体"/>
                <w:bCs/>
              </w:rPr>
              <w:t>/h</w:t>
            </w:r>
            <w:r>
              <w:rPr>
                <w:rFonts w:hint="eastAsia" w:ascii="宋体" w:hAnsi="宋体"/>
                <w:bCs/>
              </w:rPr>
              <w:t>，项目有组织颗粒物浓度为</w:t>
            </w:r>
            <w:r>
              <w:rPr>
                <w:rFonts w:ascii="宋体" w:hAnsi="宋体"/>
                <w:bCs/>
              </w:rPr>
              <w:t>0.</w:t>
            </w:r>
            <w:r>
              <w:rPr>
                <w:rFonts w:hint="eastAsia" w:ascii="宋体" w:hAnsi="宋体"/>
                <w:bCs/>
              </w:rPr>
              <w:t>04</w:t>
            </w:r>
            <w:r>
              <w:rPr>
                <w:rFonts w:ascii="宋体" w:hAnsi="宋体"/>
                <w:bCs/>
              </w:rPr>
              <w:t>mg/m</w:t>
            </w:r>
            <w:r>
              <w:rPr>
                <w:rFonts w:ascii="宋体" w:hAnsi="宋体"/>
                <w:bCs/>
                <w:vertAlign w:val="superscript"/>
              </w:rPr>
              <w:t>3</w:t>
            </w:r>
            <w:r>
              <w:rPr>
                <w:rFonts w:hint="eastAsia" w:ascii="宋体" w:hAnsi="宋体"/>
                <w:bCs/>
              </w:rPr>
              <w:t>。</w:t>
            </w:r>
          </w:p>
          <w:p>
            <w:pPr>
              <w:pStyle w:val="36"/>
              <w:spacing w:line="360" w:lineRule="auto"/>
              <w:ind w:firstLine="480"/>
              <w:rPr>
                <w:rFonts w:ascii="宋体" w:hAnsi="宋体"/>
                <w:bCs/>
              </w:rPr>
            </w:pPr>
            <w:r>
              <w:rPr>
                <w:rFonts w:hint="eastAsia" w:ascii="宋体" w:hAnsi="宋体"/>
                <w:bCs/>
              </w:rPr>
              <w:t>（2</w:t>
            </w:r>
            <w:r>
              <w:rPr>
                <w:rFonts w:ascii="宋体" w:hAnsi="宋体"/>
                <w:bCs/>
              </w:rPr>
              <w:t>）</w:t>
            </w:r>
            <w:r>
              <w:rPr>
                <w:rFonts w:hint="eastAsia" w:ascii="宋体" w:hAnsi="宋体"/>
                <w:bCs/>
              </w:rPr>
              <w:t>非甲烷总烃</w:t>
            </w:r>
          </w:p>
          <w:p>
            <w:pPr>
              <w:pStyle w:val="36"/>
              <w:spacing w:line="360" w:lineRule="auto"/>
              <w:ind w:firstLine="480"/>
              <w:rPr>
                <w:rFonts w:ascii="宋体" w:hAnsi="宋体"/>
                <w:bCs/>
              </w:rPr>
            </w:pPr>
            <w:r>
              <w:rPr>
                <w:rFonts w:hint="eastAsia" w:ascii="宋体" w:hAnsi="宋体"/>
                <w:bCs/>
              </w:rPr>
              <w:t>项目在搅拌过程中由于原料的挥发会产生少量的有机废气。项目生产过程中使用到的原材料挥发有机废气，采用非甲烷总烃指标进行评价。</w:t>
            </w:r>
          </w:p>
          <w:p>
            <w:pPr>
              <w:pStyle w:val="36"/>
              <w:spacing w:line="360" w:lineRule="auto"/>
              <w:ind w:left="39" w:firstLine="480"/>
              <w:rPr>
                <w:rFonts w:ascii="宋体" w:hAnsi="宋体"/>
                <w:bCs/>
              </w:rPr>
            </w:pPr>
            <w:r>
              <w:rPr>
                <w:rFonts w:hint="eastAsia" w:ascii="宋体" w:hAnsi="宋体"/>
                <w:bCs/>
              </w:rPr>
              <w:t>挥发量按总用量的</w:t>
            </w:r>
            <w:r>
              <w:rPr>
                <w:rFonts w:ascii="宋体" w:hAnsi="宋体"/>
                <w:bCs/>
              </w:rPr>
              <w:t>0.3%</w:t>
            </w:r>
            <w:r>
              <w:rPr>
                <w:rFonts w:hint="eastAsia" w:ascii="宋体" w:hAnsi="宋体"/>
                <w:bCs/>
              </w:rPr>
              <w:t>计算，项目溶剂原料使用量共约34</w:t>
            </w:r>
            <w:r>
              <w:rPr>
                <w:rFonts w:ascii="宋体" w:hAnsi="宋体"/>
                <w:bCs/>
              </w:rPr>
              <w:t>.8</w:t>
            </w:r>
            <w:r>
              <w:rPr>
                <w:rFonts w:hint="eastAsia" w:ascii="宋体" w:hAnsi="宋体"/>
                <w:bCs/>
              </w:rPr>
              <w:t>吨，则项目非甲烷总烃的挥发量约0.104</w:t>
            </w:r>
            <w:r>
              <w:rPr>
                <w:rFonts w:ascii="宋体" w:hAnsi="宋体"/>
                <w:bCs/>
              </w:rPr>
              <w:t>t/a</w:t>
            </w:r>
            <w:r>
              <w:rPr>
                <w:rFonts w:hint="eastAsia" w:ascii="宋体" w:hAnsi="宋体"/>
                <w:bCs/>
              </w:rPr>
              <w:t>。设备年基数按</w:t>
            </w:r>
            <w:r>
              <w:rPr>
                <w:rFonts w:ascii="宋体" w:hAnsi="宋体"/>
                <w:bCs/>
              </w:rPr>
              <w:t>1200</w:t>
            </w:r>
            <w:r>
              <w:rPr>
                <w:rFonts w:hint="eastAsia" w:ascii="宋体" w:hAnsi="宋体"/>
                <w:bCs/>
              </w:rPr>
              <w:t>小时计，则非甲烷总烃产生速率为</w:t>
            </w:r>
            <w:r>
              <w:rPr>
                <w:rFonts w:ascii="宋体" w:hAnsi="宋体"/>
                <w:bCs/>
              </w:rPr>
              <w:t>0.087kg/h</w:t>
            </w:r>
            <w:r>
              <w:rPr>
                <w:rFonts w:hint="eastAsia" w:ascii="宋体" w:hAnsi="宋体"/>
                <w:bCs/>
              </w:rPr>
              <w:t>。</w:t>
            </w:r>
          </w:p>
          <w:p>
            <w:pPr>
              <w:pStyle w:val="36"/>
              <w:spacing w:line="360" w:lineRule="auto"/>
              <w:ind w:firstLine="480"/>
              <w:rPr>
                <w:rFonts w:ascii="宋体" w:hAnsi="宋体"/>
                <w:bCs/>
              </w:rPr>
            </w:pPr>
            <w:r>
              <w:rPr>
                <w:rFonts w:hint="eastAsia" w:ascii="宋体" w:hAnsi="宋体"/>
                <w:bCs/>
              </w:rPr>
              <w:t>项目整体在密闭车间内进行，并设置集气罩对其进行收集，活性炭吸附塔设施进行处理,处理效率为99%。风机总风量约3</w:t>
            </w:r>
            <w:r>
              <w:rPr>
                <w:rFonts w:ascii="宋体" w:hAnsi="宋体"/>
                <w:bCs/>
              </w:rPr>
              <w:t>0000m</w:t>
            </w:r>
            <w:r>
              <w:rPr>
                <w:rFonts w:ascii="宋体" w:hAnsi="宋体"/>
                <w:bCs/>
                <w:vertAlign w:val="superscript"/>
              </w:rPr>
              <w:t>3</w:t>
            </w:r>
            <w:r>
              <w:rPr>
                <w:rFonts w:ascii="宋体" w:hAnsi="宋体"/>
                <w:bCs/>
              </w:rPr>
              <w:t>/h</w:t>
            </w:r>
            <w:r>
              <w:rPr>
                <w:rFonts w:hint="eastAsia" w:ascii="宋体" w:hAnsi="宋体"/>
                <w:bCs/>
              </w:rPr>
              <w:t>，则非甲烷总烃的排放浓度为</w:t>
            </w:r>
            <w:r>
              <w:rPr>
                <w:rFonts w:ascii="宋体" w:hAnsi="宋体"/>
                <w:bCs/>
              </w:rPr>
              <w:t>0.029mg/m</w:t>
            </w:r>
            <w:r>
              <w:rPr>
                <w:rFonts w:ascii="宋体" w:hAnsi="宋体"/>
                <w:bCs/>
                <w:vertAlign w:val="superscript"/>
              </w:rPr>
              <w:t>3</w:t>
            </w:r>
            <w:r>
              <w:rPr>
                <w:rFonts w:hint="eastAsia" w:ascii="宋体" w:hAnsi="宋体"/>
                <w:bCs/>
              </w:rPr>
              <w:t>，排放速率为0.00087</w:t>
            </w:r>
            <w:r>
              <w:rPr>
                <w:rFonts w:ascii="宋体" w:hAnsi="宋体"/>
                <w:bCs/>
              </w:rPr>
              <w:t xml:space="preserve"> kg/h</w:t>
            </w:r>
            <w:r>
              <w:rPr>
                <w:rFonts w:hint="eastAsia" w:ascii="宋体" w:hAnsi="宋体"/>
                <w:bCs/>
              </w:rPr>
              <w:t>。</w:t>
            </w:r>
          </w:p>
          <w:p>
            <w:pPr>
              <w:pStyle w:val="36"/>
              <w:spacing w:line="360" w:lineRule="auto"/>
              <w:ind w:firstLine="480"/>
              <w:rPr>
                <w:rFonts w:ascii="宋体" w:hAnsi="宋体"/>
                <w:bCs/>
              </w:rPr>
            </w:pPr>
            <w:r>
              <w:rPr>
                <w:rFonts w:ascii="宋体" w:hAnsi="宋体"/>
                <w:bCs/>
              </w:rPr>
              <w:t>2</w:t>
            </w:r>
            <w:r>
              <w:rPr>
                <w:rFonts w:hint="eastAsia" w:ascii="宋体" w:hAnsi="宋体"/>
                <w:bCs/>
              </w:rPr>
              <w:t>、废水：</w:t>
            </w:r>
          </w:p>
          <w:p>
            <w:pPr>
              <w:ind w:firstLine="480"/>
              <w:rPr>
                <w:rFonts w:ascii="宋体" w:hAnsi="宋体" w:eastAsia="宋体" w:cs="宋体"/>
                <w:sz w:val="24"/>
                <w:szCs w:val="24"/>
              </w:rPr>
            </w:pPr>
            <w:r>
              <w:rPr>
                <w:rFonts w:hint="eastAsia" w:ascii="宋体" w:hAnsi="宋体"/>
                <w:bCs/>
                <w:sz w:val="24"/>
                <w:szCs w:val="24"/>
              </w:rPr>
              <w:t>本项目运营期废水主要是生活污水。项目有职工</w:t>
            </w:r>
            <w:r>
              <w:rPr>
                <w:rFonts w:ascii="宋体" w:hAnsi="宋体"/>
                <w:bCs/>
                <w:sz w:val="24"/>
                <w:szCs w:val="24"/>
              </w:rPr>
              <w:t>8</w:t>
            </w:r>
            <w:r>
              <w:rPr>
                <w:rFonts w:hint="eastAsia" w:ascii="宋体" w:hAnsi="宋体"/>
                <w:bCs/>
                <w:sz w:val="24"/>
                <w:szCs w:val="24"/>
              </w:rPr>
              <w:t>人，参照《辽宁省地方标准行业用水定额》、《给水排水标准规范实施手册》用水量估算，厂区内职工办公生活用水平均以</w:t>
            </w:r>
            <w:r>
              <w:rPr>
                <w:rFonts w:ascii="宋体" w:hAnsi="宋体"/>
                <w:bCs/>
                <w:sz w:val="24"/>
                <w:szCs w:val="24"/>
              </w:rPr>
              <w:t>40L/</w:t>
            </w:r>
            <w:r>
              <w:rPr>
                <w:rFonts w:hint="eastAsia" w:ascii="宋体" w:hAnsi="宋体"/>
                <w:bCs/>
                <w:sz w:val="24"/>
                <w:szCs w:val="24"/>
              </w:rPr>
              <w:t>人</w:t>
            </w:r>
            <w:r>
              <w:rPr>
                <w:rFonts w:hint="cs" w:ascii="宋体" w:hAnsi="宋体"/>
                <w:bCs/>
                <w:sz w:val="24"/>
                <w:szCs w:val="24"/>
              </w:rPr>
              <w:t>•</w:t>
            </w:r>
            <w:r>
              <w:rPr>
                <w:rFonts w:ascii="宋体" w:hAnsi="宋体"/>
                <w:bCs/>
                <w:sz w:val="24"/>
                <w:szCs w:val="24"/>
              </w:rPr>
              <w:t>d</w:t>
            </w:r>
            <w:r>
              <w:rPr>
                <w:rFonts w:hint="eastAsia" w:ascii="宋体" w:hAnsi="宋体"/>
                <w:bCs/>
                <w:sz w:val="24"/>
                <w:szCs w:val="24"/>
              </w:rPr>
              <w:t>计，年工作日按15</w:t>
            </w:r>
            <w:r>
              <w:rPr>
                <w:rFonts w:ascii="宋体" w:hAnsi="宋体"/>
                <w:bCs/>
                <w:sz w:val="24"/>
                <w:szCs w:val="24"/>
              </w:rPr>
              <w:t>0</w:t>
            </w:r>
            <w:r>
              <w:rPr>
                <w:rFonts w:hint="eastAsia" w:ascii="宋体" w:hAnsi="宋体"/>
                <w:bCs/>
                <w:sz w:val="24"/>
                <w:szCs w:val="24"/>
              </w:rPr>
              <w:t>天计，职工用水量为48</w:t>
            </w:r>
            <w:r>
              <w:rPr>
                <w:rFonts w:ascii="宋体" w:hAnsi="宋体"/>
                <w:bCs/>
                <w:sz w:val="24"/>
                <w:szCs w:val="24"/>
              </w:rPr>
              <w:t>t/a</w:t>
            </w:r>
            <w:r>
              <w:rPr>
                <w:rFonts w:hint="eastAsia" w:ascii="宋体" w:hAnsi="宋体"/>
                <w:bCs/>
                <w:sz w:val="24"/>
                <w:szCs w:val="24"/>
              </w:rPr>
              <w:t>，排水量按用水量的</w:t>
            </w:r>
            <w:r>
              <w:rPr>
                <w:rFonts w:ascii="宋体" w:hAnsi="宋体"/>
                <w:bCs/>
                <w:sz w:val="24"/>
                <w:szCs w:val="24"/>
              </w:rPr>
              <w:t>80%</w:t>
            </w:r>
            <w:r>
              <w:rPr>
                <w:rFonts w:hint="eastAsia" w:ascii="宋体" w:hAnsi="宋体"/>
                <w:bCs/>
                <w:sz w:val="24"/>
                <w:szCs w:val="24"/>
              </w:rPr>
              <w:t>计，共排放生活污水38</w:t>
            </w:r>
            <w:r>
              <w:rPr>
                <w:rFonts w:ascii="宋体" w:hAnsi="宋体"/>
                <w:bCs/>
                <w:sz w:val="24"/>
                <w:szCs w:val="24"/>
              </w:rPr>
              <w:t>.</w:t>
            </w:r>
            <w:r>
              <w:rPr>
                <w:rFonts w:hint="eastAsia" w:ascii="宋体" w:hAnsi="宋体"/>
                <w:bCs/>
                <w:sz w:val="24"/>
                <w:szCs w:val="24"/>
              </w:rPr>
              <w:t>4</w:t>
            </w:r>
            <w:r>
              <w:rPr>
                <w:rFonts w:ascii="宋体" w:hAnsi="宋体"/>
                <w:bCs/>
                <w:sz w:val="24"/>
                <w:szCs w:val="24"/>
              </w:rPr>
              <w:t>m</w:t>
            </w:r>
            <w:r>
              <w:rPr>
                <w:rFonts w:ascii="宋体" w:hAnsi="宋体"/>
                <w:bCs/>
                <w:sz w:val="24"/>
                <w:szCs w:val="24"/>
                <w:vertAlign w:val="superscript"/>
              </w:rPr>
              <w:t>3</w:t>
            </w:r>
            <w:r>
              <w:rPr>
                <w:rFonts w:ascii="宋体" w:hAnsi="宋体"/>
                <w:bCs/>
                <w:sz w:val="24"/>
                <w:szCs w:val="24"/>
              </w:rPr>
              <w:t>/a</w:t>
            </w:r>
            <w:r>
              <w:rPr>
                <w:rFonts w:hint="eastAsia" w:ascii="宋体" w:hAnsi="宋体"/>
                <w:bCs/>
                <w:sz w:val="24"/>
                <w:szCs w:val="24"/>
              </w:rPr>
              <w:t>，生活废水直接排入旱厕，由环卫部门定期清淘。</w:t>
            </w:r>
            <w:r>
              <w:rPr>
                <w:rFonts w:hint="eastAsia" w:ascii="宋体" w:hAnsi="宋体" w:eastAsia="宋体" w:cs="宋体"/>
                <w:sz w:val="24"/>
                <w:szCs w:val="24"/>
              </w:rPr>
              <w:t>根据类比调查，确定本项目的生活污水水质,见表5-3：</w:t>
            </w:r>
          </w:p>
          <w:p>
            <w:pPr>
              <w:spacing w:line="360" w:lineRule="auto"/>
              <w:jc w:val="center"/>
              <w:rPr>
                <w:rFonts w:ascii="宋体" w:hAnsi="宋体" w:eastAsia="宋体" w:cs="宋体"/>
                <w:sz w:val="24"/>
                <w:szCs w:val="22"/>
              </w:rPr>
            </w:pPr>
            <w:r>
              <w:rPr>
                <w:rFonts w:hint="eastAsia" w:ascii="宋体" w:hAnsi="宋体" w:eastAsia="宋体" w:cs="宋体"/>
                <w:sz w:val="24"/>
                <w:szCs w:val="22"/>
              </w:rPr>
              <w:t>表5-3     生活废水水质     单位： mg/L</w:t>
            </w:r>
          </w:p>
          <w:tbl>
            <w:tblPr>
              <w:tblStyle w:val="25"/>
              <w:tblW w:w="8522" w:type="dxa"/>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59"/>
              <w:gridCol w:w="1843"/>
              <w:gridCol w:w="1985"/>
              <w:gridCol w:w="1751"/>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污染物</w:t>
                  </w:r>
                </w:p>
              </w:tc>
              <w:tc>
                <w:tcPr>
                  <w:tcW w:w="1559"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COD</w:t>
                  </w:r>
                </w:p>
              </w:tc>
              <w:tc>
                <w:tcPr>
                  <w:tcW w:w="1843"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BOD</w:t>
                  </w:r>
                  <w:r>
                    <w:rPr>
                      <w:rFonts w:hint="eastAsia" w:ascii="宋体" w:hAnsi="宋体" w:eastAsia="宋体" w:cs="宋体"/>
                      <w:kern w:val="0"/>
                      <w:sz w:val="21"/>
                      <w:szCs w:val="21"/>
                      <w:vertAlign w:val="subscript"/>
                    </w:rPr>
                    <w:t>5</w:t>
                  </w:r>
                </w:p>
              </w:tc>
              <w:tc>
                <w:tcPr>
                  <w:tcW w:w="1985"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NH</w:t>
                  </w:r>
                  <w:r>
                    <w:rPr>
                      <w:rFonts w:hint="eastAsia" w:ascii="宋体" w:hAnsi="宋体" w:eastAsia="宋体" w:cs="宋体"/>
                      <w:kern w:val="0"/>
                      <w:sz w:val="21"/>
                      <w:szCs w:val="21"/>
                      <w:vertAlign w:val="subscript"/>
                    </w:rPr>
                    <w:t>3</w:t>
                  </w:r>
                  <w:r>
                    <w:rPr>
                      <w:rFonts w:hint="eastAsia" w:ascii="宋体" w:hAnsi="宋体" w:eastAsia="宋体" w:cs="宋体"/>
                      <w:kern w:val="0"/>
                      <w:sz w:val="21"/>
                      <w:szCs w:val="21"/>
                    </w:rPr>
                    <w:t xml:space="preserve">-N </w:t>
                  </w:r>
                </w:p>
              </w:tc>
              <w:tc>
                <w:tcPr>
                  <w:tcW w:w="1751"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SS</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产生浓度</w:t>
                  </w:r>
                </w:p>
              </w:tc>
              <w:tc>
                <w:tcPr>
                  <w:tcW w:w="1559"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300</w:t>
                  </w:r>
                </w:p>
              </w:tc>
              <w:tc>
                <w:tcPr>
                  <w:tcW w:w="1843"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260</w:t>
                  </w:r>
                </w:p>
              </w:tc>
              <w:tc>
                <w:tcPr>
                  <w:tcW w:w="1985"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30</w:t>
                  </w:r>
                </w:p>
              </w:tc>
              <w:tc>
                <w:tcPr>
                  <w:tcW w:w="1751" w:type="dxa"/>
                </w:tcPr>
                <w:p>
                  <w:pPr>
                    <w:adjustRightInd w:val="0"/>
                    <w:snapToGrid w:val="0"/>
                    <w:spacing w:line="240" w:lineRule="atLeast"/>
                    <w:jc w:val="center"/>
                    <w:rPr>
                      <w:rFonts w:ascii="宋体" w:hAnsi="宋体" w:eastAsia="宋体" w:cs="宋体"/>
                      <w:kern w:val="0"/>
                      <w:sz w:val="21"/>
                      <w:szCs w:val="21"/>
                    </w:rPr>
                  </w:pPr>
                  <w:r>
                    <w:rPr>
                      <w:rFonts w:hint="eastAsia" w:ascii="宋体" w:hAnsi="宋体" w:eastAsia="宋体" w:cs="宋体"/>
                      <w:kern w:val="0"/>
                      <w:sz w:val="21"/>
                      <w:szCs w:val="21"/>
                    </w:rPr>
                    <w:t>150</w:t>
                  </w:r>
                </w:p>
              </w:tc>
            </w:tr>
          </w:tbl>
          <w:p>
            <w:pPr>
              <w:pStyle w:val="36"/>
              <w:spacing w:line="360" w:lineRule="auto"/>
              <w:ind w:firstLine="480"/>
              <w:rPr>
                <w:rFonts w:ascii="宋体" w:hAnsi="宋体"/>
                <w:bCs/>
              </w:rPr>
            </w:pPr>
            <w:r>
              <w:rPr>
                <w:rFonts w:ascii="宋体" w:hAnsi="宋体"/>
                <w:bCs/>
              </w:rPr>
              <w:t>3</w:t>
            </w:r>
            <w:r>
              <w:rPr>
                <w:rFonts w:hint="eastAsia" w:ascii="宋体" w:hAnsi="宋体"/>
                <w:bCs/>
              </w:rPr>
              <w:t>、噪声：</w:t>
            </w:r>
          </w:p>
          <w:p>
            <w:pPr>
              <w:pStyle w:val="36"/>
              <w:spacing w:line="360" w:lineRule="auto"/>
              <w:ind w:firstLine="480"/>
              <w:rPr>
                <w:rFonts w:ascii="宋体" w:hAnsi="宋体"/>
                <w:bCs/>
              </w:rPr>
            </w:pPr>
            <w:r>
              <w:rPr>
                <w:rFonts w:hint="eastAsia" w:ascii="宋体" w:hAnsi="宋体"/>
                <w:bCs/>
              </w:rPr>
              <w:t>营运期的噪声主要为设备噪声，主要有搅拌机、油压机等，其噪声级一般在</w:t>
            </w:r>
            <w:r>
              <w:rPr>
                <w:rFonts w:ascii="宋体" w:hAnsi="宋体"/>
                <w:bCs/>
              </w:rPr>
              <w:t>80</w:t>
            </w:r>
            <w:r>
              <w:rPr>
                <w:rFonts w:hint="eastAsia" w:ascii="宋体" w:hAnsi="宋体"/>
                <w:bCs/>
              </w:rPr>
              <w:t>～</w:t>
            </w:r>
            <w:r>
              <w:rPr>
                <w:rFonts w:ascii="宋体" w:hAnsi="宋体"/>
                <w:bCs/>
              </w:rPr>
              <w:t>85dB</w:t>
            </w:r>
            <w:r>
              <w:rPr>
                <w:rFonts w:hint="eastAsia" w:ascii="宋体" w:hAnsi="宋体"/>
                <w:bCs/>
              </w:rPr>
              <w:t>（</w:t>
            </w:r>
            <w:r>
              <w:rPr>
                <w:rFonts w:ascii="宋体" w:hAnsi="宋体"/>
                <w:bCs/>
              </w:rPr>
              <w:t>A</w:t>
            </w:r>
            <w:r>
              <w:rPr>
                <w:rFonts w:hint="eastAsia" w:ascii="宋体" w:hAnsi="宋体"/>
                <w:bCs/>
              </w:rPr>
              <w:t>）之间。设备均采用低噪声设备，并布置于室内并采取隔声门窗、设减振垫、绿化等处理措施</w:t>
            </w:r>
          </w:p>
          <w:p>
            <w:pPr>
              <w:pStyle w:val="36"/>
              <w:spacing w:line="360" w:lineRule="auto"/>
              <w:ind w:firstLine="480"/>
              <w:rPr>
                <w:rFonts w:ascii="宋体" w:hAnsi="宋体"/>
                <w:bCs/>
              </w:rPr>
            </w:pPr>
            <w:r>
              <w:rPr>
                <w:rFonts w:ascii="宋体" w:hAnsi="宋体"/>
                <w:bCs/>
              </w:rPr>
              <w:t xml:space="preserve">4. </w:t>
            </w:r>
            <w:r>
              <w:rPr>
                <w:rFonts w:hint="eastAsia" w:ascii="宋体" w:hAnsi="宋体"/>
                <w:bCs/>
              </w:rPr>
              <w:t>固体废弃物：</w:t>
            </w:r>
            <w:r>
              <w:rPr>
                <w:rFonts w:ascii="宋体" w:hAnsi="宋体"/>
                <w:bCs/>
              </w:rPr>
              <w:t xml:space="preserve"> </w:t>
            </w:r>
          </w:p>
          <w:p>
            <w:pPr>
              <w:pStyle w:val="36"/>
              <w:spacing w:line="360" w:lineRule="auto"/>
              <w:ind w:firstLine="480"/>
              <w:rPr>
                <w:rFonts w:ascii="宋体" w:hAnsi="宋体"/>
                <w:bCs/>
              </w:rPr>
            </w:pPr>
            <w:r>
              <w:rPr>
                <w:rFonts w:hint="eastAsia" w:ascii="宋体" w:hAnsi="宋体"/>
                <w:bCs/>
              </w:rPr>
              <w:t>本项目产生的固废主要为职工生活垃圾、收集灰尘、废液压油、废活性炭和废包装物。</w:t>
            </w:r>
          </w:p>
          <w:p>
            <w:pPr>
              <w:pStyle w:val="36"/>
              <w:spacing w:line="360" w:lineRule="auto"/>
              <w:ind w:firstLine="480"/>
              <w:rPr>
                <w:rFonts w:ascii="宋体" w:hAnsi="宋体"/>
                <w:bCs/>
              </w:rPr>
            </w:pPr>
            <w:r>
              <w:rPr>
                <w:rFonts w:hint="eastAsia" w:ascii="宋体" w:hAnsi="宋体"/>
                <w:bCs/>
              </w:rPr>
              <w:t>（</w:t>
            </w:r>
            <w:r>
              <w:rPr>
                <w:rFonts w:ascii="宋体" w:hAnsi="宋体"/>
                <w:bCs/>
              </w:rPr>
              <w:t>1</w:t>
            </w:r>
            <w:r>
              <w:rPr>
                <w:rFonts w:hint="eastAsia" w:ascii="宋体" w:hAnsi="宋体"/>
                <w:bCs/>
              </w:rPr>
              <w:t>）生活垃圾</w:t>
            </w:r>
          </w:p>
          <w:p>
            <w:pPr>
              <w:pStyle w:val="36"/>
              <w:spacing w:line="360" w:lineRule="auto"/>
              <w:ind w:firstLine="480"/>
              <w:rPr>
                <w:rFonts w:ascii="宋体" w:hAnsi="宋体"/>
                <w:bCs/>
              </w:rPr>
            </w:pPr>
            <w:r>
              <w:rPr>
                <w:rFonts w:hint="eastAsia" w:ascii="宋体" w:hAnsi="宋体"/>
                <w:bCs/>
              </w:rPr>
              <w:t>根据《第一次全国污染源普查城镇生活源产排污系数手册》第一分册，本项目按照每位职工每天产生</w:t>
            </w:r>
            <w:r>
              <w:rPr>
                <w:rFonts w:ascii="宋体" w:hAnsi="宋体"/>
                <w:bCs/>
              </w:rPr>
              <w:t>0.5kg</w:t>
            </w:r>
            <w:r>
              <w:rPr>
                <w:rFonts w:hint="eastAsia" w:ascii="宋体" w:hAnsi="宋体"/>
                <w:bCs/>
              </w:rPr>
              <w:t>生活垃圾，总人数为</w:t>
            </w:r>
            <w:r>
              <w:rPr>
                <w:rFonts w:ascii="宋体" w:hAnsi="宋体"/>
                <w:bCs/>
              </w:rPr>
              <w:t>8</w:t>
            </w:r>
            <w:r>
              <w:rPr>
                <w:rFonts w:hint="eastAsia" w:ascii="宋体" w:hAnsi="宋体"/>
                <w:bCs/>
              </w:rPr>
              <w:t>人，则全年生活垃圾的产生量约为</w:t>
            </w:r>
            <w:r>
              <w:rPr>
                <w:rFonts w:ascii="宋体" w:hAnsi="宋体"/>
                <w:bCs/>
              </w:rPr>
              <w:t>0.6t/a</w:t>
            </w:r>
            <w:r>
              <w:rPr>
                <w:rFonts w:hint="eastAsia" w:ascii="宋体" w:hAnsi="宋体"/>
                <w:bCs/>
              </w:rPr>
              <w:t>，由环卫部门统一处置。</w:t>
            </w:r>
          </w:p>
          <w:p>
            <w:pPr>
              <w:pStyle w:val="36"/>
              <w:spacing w:line="360" w:lineRule="auto"/>
              <w:ind w:firstLine="480"/>
              <w:rPr>
                <w:rFonts w:ascii="宋体" w:hAnsi="宋体"/>
                <w:bCs/>
              </w:rPr>
            </w:pPr>
            <w:r>
              <w:rPr>
                <w:rFonts w:hint="eastAsia" w:ascii="宋体" w:hAnsi="宋体"/>
                <w:bCs/>
              </w:rPr>
              <w:t>（</w:t>
            </w:r>
            <w:r>
              <w:rPr>
                <w:rFonts w:ascii="宋体" w:hAnsi="宋体"/>
                <w:bCs/>
              </w:rPr>
              <w:t>2</w:t>
            </w:r>
            <w:r>
              <w:rPr>
                <w:rFonts w:hint="eastAsia" w:ascii="宋体" w:hAnsi="宋体"/>
                <w:bCs/>
              </w:rPr>
              <w:t>）收集灰尘</w:t>
            </w:r>
          </w:p>
          <w:p>
            <w:pPr>
              <w:pStyle w:val="36"/>
              <w:spacing w:line="360" w:lineRule="auto"/>
              <w:ind w:firstLine="480"/>
              <w:rPr>
                <w:rFonts w:ascii="宋体" w:hAnsi="宋体"/>
                <w:bCs/>
              </w:rPr>
            </w:pPr>
            <w:r>
              <w:rPr>
                <w:rFonts w:hint="eastAsia" w:ascii="宋体" w:hAnsi="宋体"/>
                <w:bCs/>
              </w:rPr>
              <w:t>根据源强分析，项目布袋除尘器收集的灰尘为</w:t>
            </w:r>
            <w:r>
              <w:rPr>
                <w:rFonts w:ascii="宋体" w:hAnsi="宋体"/>
                <w:bCs/>
              </w:rPr>
              <w:t>0.142t/a</w:t>
            </w:r>
            <w:r>
              <w:rPr>
                <w:rFonts w:hint="eastAsia" w:ascii="宋体" w:hAnsi="宋体"/>
                <w:bCs/>
              </w:rPr>
              <w:t>，回用于生产。</w:t>
            </w:r>
          </w:p>
          <w:p>
            <w:pPr>
              <w:pStyle w:val="36"/>
              <w:spacing w:line="360" w:lineRule="auto"/>
              <w:ind w:firstLine="480"/>
              <w:rPr>
                <w:rFonts w:ascii="宋体" w:hAnsi="宋体"/>
                <w:bCs/>
              </w:rPr>
            </w:pPr>
            <w:r>
              <w:rPr>
                <w:rFonts w:hint="eastAsia" w:ascii="宋体" w:hAnsi="宋体"/>
                <w:bCs/>
              </w:rPr>
              <w:t>（3）废包装袋</w:t>
            </w:r>
          </w:p>
          <w:p>
            <w:pPr>
              <w:pStyle w:val="36"/>
              <w:spacing w:line="360" w:lineRule="auto"/>
              <w:ind w:firstLine="480"/>
              <w:rPr>
                <w:rFonts w:ascii="宋体" w:hAnsi="宋体"/>
                <w:bCs/>
              </w:rPr>
            </w:pPr>
            <w:r>
              <w:rPr>
                <w:rFonts w:hint="eastAsia" w:ascii="宋体" w:hAnsi="宋体"/>
                <w:bCs/>
              </w:rPr>
              <w:t>项目原料蛭石、石墨、聚磷酸铵的废包装袋为一般工业固体废物，产生量约0.1</w:t>
            </w:r>
            <w:r>
              <w:rPr>
                <w:rFonts w:ascii="宋体" w:hAnsi="宋体"/>
                <w:bCs/>
              </w:rPr>
              <w:t>t/a</w:t>
            </w:r>
            <w:r>
              <w:rPr>
                <w:rFonts w:hint="eastAsia" w:ascii="宋体" w:hAnsi="宋体"/>
                <w:bCs/>
              </w:rPr>
              <w:t>，出售。</w:t>
            </w:r>
          </w:p>
          <w:p>
            <w:pPr>
              <w:pStyle w:val="36"/>
              <w:spacing w:line="360" w:lineRule="auto"/>
              <w:ind w:firstLine="480"/>
            </w:pPr>
            <w:r>
              <w:rPr>
                <w:rFonts w:hint="eastAsia"/>
              </w:rPr>
              <w:t>（4）废氯丁胶桶</w:t>
            </w:r>
          </w:p>
          <w:p>
            <w:pPr>
              <w:pStyle w:val="36"/>
              <w:spacing w:line="360" w:lineRule="auto"/>
              <w:ind w:firstLine="480"/>
            </w:pPr>
            <w:r>
              <w:rPr>
                <w:rFonts w:hint="eastAsia"/>
              </w:rPr>
              <w:t>项目每年产生废氯丁胶桶</w:t>
            </w:r>
            <w:r>
              <w:t>70</w:t>
            </w:r>
            <w:r>
              <w:rPr>
                <w:rFonts w:hint="eastAsia"/>
              </w:rPr>
              <w:t>只，为危险废物，委托有资质单位进行处置。</w:t>
            </w:r>
          </w:p>
          <w:p>
            <w:pPr>
              <w:pStyle w:val="36"/>
              <w:spacing w:line="360" w:lineRule="auto"/>
              <w:ind w:firstLine="480"/>
              <w:rPr>
                <w:rFonts w:ascii="宋体" w:hAnsi="宋体"/>
                <w:bCs/>
              </w:rPr>
            </w:pPr>
            <w:r>
              <w:rPr>
                <w:rFonts w:hint="eastAsia" w:ascii="宋体" w:hAnsi="宋体"/>
                <w:bCs/>
              </w:rPr>
              <w:t>（5）废液压油</w:t>
            </w:r>
          </w:p>
          <w:p>
            <w:pPr>
              <w:pStyle w:val="36"/>
              <w:spacing w:line="360" w:lineRule="auto"/>
              <w:ind w:firstLine="480"/>
              <w:rPr>
                <w:rFonts w:ascii="宋体" w:hAnsi="宋体"/>
                <w:bCs/>
              </w:rPr>
            </w:pPr>
            <w:r>
              <w:rPr>
                <w:rFonts w:hint="eastAsia" w:ascii="宋体" w:hAnsi="宋体"/>
                <w:bCs/>
              </w:rPr>
              <w:t>拟建项目油压机使用过程中需要使用液压油作为介质，液压油每</w:t>
            </w:r>
            <w:r>
              <w:rPr>
                <w:rFonts w:ascii="宋体" w:hAnsi="宋体"/>
                <w:bCs/>
              </w:rPr>
              <w:t>3-5</w:t>
            </w:r>
            <w:r>
              <w:rPr>
                <w:rFonts w:hint="eastAsia" w:ascii="宋体" w:hAnsi="宋体"/>
                <w:bCs/>
              </w:rPr>
              <w:t>年更换一次，更换废液压油量约</w:t>
            </w:r>
            <w:r>
              <w:rPr>
                <w:rFonts w:ascii="宋体" w:hAnsi="宋体"/>
                <w:bCs/>
              </w:rPr>
              <w:t>1t/a</w:t>
            </w:r>
            <w:r>
              <w:rPr>
                <w:rFonts w:hint="eastAsia" w:ascii="宋体" w:hAnsi="宋体"/>
                <w:bCs/>
              </w:rPr>
              <w:t>，为危险废物，委托有资质单位进行处置。</w:t>
            </w:r>
          </w:p>
          <w:p>
            <w:pPr>
              <w:pStyle w:val="36"/>
              <w:spacing w:line="360" w:lineRule="auto"/>
              <w:ind w:firstLine="480"/>
              <w:rPr>
                <w:rFonts w:ascii="宋体" w:hAnsi="宋体"/>
                <w:bCs/>
              </w:rPr>
            </w:pPr>
            <w:r>
              <w:rPr>
                <w:rFonts w:hint="eastAsia" w:ascii="宋体" w:hAnsi="宋体"/>
                <w:bCs/>
              </w:rPr>
              <w:t>（6）废活性炭</w:t>
            </w:r>
          </w:p>
          <w:p>
            <w:pPr>
              <w:pStyle w:val="36"/>
              <w:spacing w:line="360" w:lineRule="auto"/>
              <w:ind w:firstLine="480"/>
              <w:rPr>
                <w:rFonts w:ascii="宋体" w:hAnsi="宋体"/>
                <w:bCs/>
              </w:rPr>
            </w:pPr>
            <w:r>
              <w:rPr>
                <w:rFonts w:hint="eastAsia" w:ascii="宋体" w:hAnsi="宋体"/>
                <w:bCs/>
              </w:rPr>
              <w:t>项目采用活性炭吸收厂房内排放的非甲烷总烃，每年更换一次，产生量为0</w:t>
            </w:r>
            <w:r>
              <w:rPr>
                <w:rFonts w:ascii="宋体" w:hAnsi="宋体"/>
                <w:bCs/>
              </w:rPr>
              <w:t>.1t/a</w:t>
            </w:r>
            <w:r>
              <w:rPr>
                <w:rFonts w:hint="eastAsia" w:ascii="宋体" w:hAnsi="宋体"/>
                <w:bCs/>
              </w:rPr>
              <w:t>，为危险废物，委托有资质单位进行处置。</w:t>
            </w:r>
          </w:p>
          <w:p/>
        </w:tc>
      </w:tr>
    </w:tbl>
    <w:p>
      <w:pPr>
        <w:pStyle w:val="36"/>
        <w:spacing w:line="360" w:lineRule="auto"/>
        <w:ind w:firstLine="0" w:firstLineChars="0"/>
        <w:rPr>
          <w:rFonts w:ascii="宋体" w:hAnsi="宋体"/>
          <w:b/>
          <w:color w:val="FF0000"/>
          <w:szCs w:val="24"/>
        </w:rPr>
        <w:sectPr>
          <w:pgSz w:w="11906" w:h="16838"/>
          <w:pgMar w:top="1701" w:right="1701" w:bottom="1843" w:left="1701" w:header="851" w:footer="992" w:gutter="0"/>
          <w:cols w:space="720" w:num="1"/>
          <w:docGrid w:type="lines" w:linePitch="480" w:charSpace="0"/>
        </w:sectPr>
      </w:pPr>
    </w:p>
    <w:p>
      <w:pPr>
        <w:rPr>
          <w:rFonts w:ascii="宋体" w:hAnsi="宋体" w:eastAsia="宋体"/>
          <w:b/>
          <w:sz w:val="24"/>
          <w:szCs w:val="24"/>
        </w:rPr>
      </w:pPr>
      <w:r>
        <w:rPr>
          <w:rFonts w:ascii="宋体" w:hAnsi="宋体" w:eastAsia="宋体"/>
          <w:b/>
          <w:sz w:val="24"/>
          <w:szCs w:val="24"/>
        </w:rPr>
        <w:t>项目主要污染物产生及预计排放情况</w:t>
      </w:r>
    </w:p>
    <w:tbl>
      <w:tblPr>
        <w:tblStyle w:val="25"/>
        <w:tblW w:w="8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568"/>
        <w:gridCol w:w="1405"/>
        <w:gridCol w:w="1407"/>
        <w:gridCol w:w="2126"/>
        <w:gridCol w:w="1096"/>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135" w:type="dxa"/>
            <w:gridSpan w:val="2"/>
            <w:tcBorders>
              <w:tl2br w:val="single" w:color="auto" w:sz="4" w:space="0"/>
            </w:tcBorders>
          </w:tcPr>
          <w:p>
            <w:pPr>
              <w:snapToGrid w:val="0"/>
              <w:ind w:firstLine="240" w:firstLineChars="100"/>
              <w:rPr>
                <w:rFonts w:ascii="宋体" w:hAnsi="宋体" w:eastAsia="宋体"/>
                <w:sz w:val="24"/>
                <w:szCs w:val="24"/>
              </w:rPr>
            </w:pPr>
            <w:r>
              <w:rPr>
                <w:rFonts w:ascii="宋体" w:hAnsi="宋体" w:eastAsia="宋体"/>
                <w:sz w:val="24"/>
                <w:szCs w:val="24"/>
              </w:rPr>
              <w:t>内容</w:t>
            </w:r>
          </w:p>
          <w:p>
            <w:pPr>
              <w:snapToGrid w:val="0"/>
              <w:rPr>
                <w:rFonts w:ascii="宋体" w:hAnsi="宋体" w:eastAsia="宋体"/>
                <w:sz w:val="24"/>
                <w:szCs w:val="24"/>
              </w:rPr>
            </w:pPr>
            <w:r>
              <w:rPr>
                <w:rFonts w:ascii="宋体" w:hAnsi="宋体" w:eastAsia="宋体"/>
                <w:sz w:val="24"/>
                <w:szCs w:val="24"/>
              </w:rPr>
              <w:t>类型</w:t>
            </w:r>
          </w:p>
        </w:tc>
        <w:tc>
          <w:tcPr>
            <w:tcW w:w="1405" w:type="dxa"/>
            <w:vAlign w:val="center"/>
          </w:tcPr>
          <w:p>
            <w:pPr>
              <w:snapToGrid w:val="0"/>
              <w:jc w:val="center"/>
              <w:rPr>
                <w:rFonts w:ascii="宋体" w:hAnsi="宋体" w:eastAsia="宋体"/>
                <w:sz w:val="24"/>
                <w:szCs w:val="24"/>
              </w:rPr>
            </w:pPr>
            <w:r>
              <w:rPr>
                <w:rFonts w:ascii="宋体" w:hAnsi="宋体" w:eastAsia="宋体"/>
                <w:sz w:val="24"/>
                <w:szCs w:val="24"/>
              </w:rPr>
              <w:t>排放源</w:t>
            </w:r>
          </w:p>
          <w:p>
            <w:pPr>
              <w:snapToGrid w:val="0"/>
              <w:jc w:val="center"/>
              <w:rPr>
                <w:rFonts w:ascii="宋体" w:hAnsi="宋体" w:eastAsia="宋体"/>
                <w:sz w:val="24"/>
                <w:szCs w:val="24"/>
              </w:rPr>
            </w:pPr>
            <w:r>
              <w:rPr>
                <w:rFonts w:ascii="宋体" w:hAnsi="宋体" w:eastAsia="宋体"/>
                <w:sz w:val="24"/>
                <w:szCs w:val="24"/>
              </w:rPr>
              <w:t>（编号）</w:t>
            </w:r>
          </w:p>
        </w:tc>
        <w:tc>
          <w:tcPr>
            <w:tcW w:w="1407" w:type="dxa"/>
            <w:vAlign w:val="center"/>
          </w:tcPr>
          <w:p>
            <w:pPr>
              <w:snapToGrid w:val="0"/>
              <w:jc w:val="center"/>
              <w:rPr>
                <w:rFonts w:ascii="宋体" w:hAnsi="宋体" w:eastAsia="宋体"/>
                <w:sz w:val="24"/>
                <w:szCs w:val="24"/>
              </w:rPr>
            </w:pPr>
            <w:r>
              <w:rPr>
                <w:rFonts w:ascii="宋体" w:hAnsi="宋体" w:eastAsia="宋体"/>
                <w:sz w:val="24"/>
                <w:szCs w:val="24"/>
              </w:rPr>
              <w:t>污染物</w:t>
            </w:r>
          </w:p>
          <w:p>
            <w:pPr>
              <w:snapToGrid w:val="0"/>
              <w:jc w:val="center"/>
              <w:rPr>
                <w:rFonts w:ascii="宋体" w:hAnsi="宋体" w:eastAsia="宋体"/>
                <w:sz w:val="24"/>
                <w:szCs w:val="24"/>
              </w:rPr>
            </w:pPr>
            <w:r>
              <w:rPr>
                <w:rFonts w:ascii="宋体" w:hAnsi="宋体" w:eastAsia="宋体"/>
                <w:sz w:val="24"/>
                <w:szCs w:val="24"/>
              </w:rPr>
              <w:t>名称</w:t>
            </w:r>
          </w:p>
        </w:tc>
        <w:tc>
          <w:tcPr>
            <w:tcW w:w="2126" w:type="dxa"/>
            <w:vAlign w:val="center"/>
          </w:tcPr>
          <w:p>
            <w:pPr>
              <w:snapToGrid w:val="0"/>
              <w:jc w:val="center"/>
              <w:rPr>
                <w:rFonts w:ascii="宋体" w:hAnsi="宋体" w:eastAsia="宋体"/>
                <w:sz w:val="24"/>
                <w:szCs w:val="24"/>
              </w:rPr>
            </w:pPr>
            <w:r>
              <w:rPr>
                <w:rFonts w:ascii="宋体" w:hAnsi="宋体" w:eastAsia="宋体"/>
                <w:sz w:val="24"/>
                <w:szCs w:val="24"/>
              </w:rPr>
              <w:t>处理前产生</w:t>
            </w:r>
            <w:r>
              <w:rPr>
                <w:rFonts w:hint="eastAsia" w:ascii="宋体" w:hAnsi="宋体" w:eastAsia="宋体"/>
                <w:sz w:val="24"/>
                <w:szCs w:val="24"/>
              </w:rPr>
              <w:t>浓度及产生</w:t>
            </w:r>
            <w:r>
              <w:rPr>
                <w:rFonts w:ascii="宋体" w:hAnsi="宋体" w:eastAsia="宋体"/>
                <w:sz w:val="24"/>
                <w:szCs w:val="24"/>
              </w:rPr>
              <w:t>量</w:t>
            </w:r>
          </w:p>
        </w:tc>
        <w:tc>
          <w:tcPr>
            <w:tcW w:w="2668" w:type="dxa"/>
            <w:gridSpan w:val="2"/>
            <w:vAlign w:val="center"/>
          </w:tcPr>
          <w:p>
            <w:pPr>
              <w:snapToGrid w:val="0"/>
              <w:jc w:val="center"/>
              <w:rPr>
                <w:rFonts w:ascii="宋体" w:hAnsi="宋体" w:eastAsia="宋体"/>
                <w:sz w:val="24"/>
                <w:szCs w:val="24"/>
              </w:rPr>
            </w:pPr>
            <w:r>
              <w:rPr>
                <w:rFonts w:ascii="宋体" w:hAnsi="宋体" w:eastAsia="宋体"/>
                <w:sz w:val="24"/>
                <w:szCs w:val="24"/>
              </w:rPr>
              <w:t>排放浓度及排放量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135" w:type="dxa"/>
            <w:gridSpan w:val="2"/>
            <w:vMerge w:val="restart"/>
            <w:vAlign w:val="center"/>
          </w:tcPr>
          <w:p>
            <w:pPr>
              <w:snapToGrid w:val="0"/>
              <w:jc w:val="center"/>
              <w:rPr>
                <w:rFonts w:eastAsia="宋体"/>
                <w:sz w:val="24"/>
                <w:szCs w:val="24"/>
              </w:rPr>
            </w:pPr>
            <w:r>
              <w:rPr>
                <w:rFonts w:eastAsia="宋体"/>
                <w:sz w:val="24"/>
                <w:szCs w:val="24"/>
              </w:rPr>
              <w:t>大</w:t>
            </w:r>
          </w:p>
          <w:p>
            <w:pPr>
              <w:snapToGrid w:val="0"/>
              <w:jc w:val="center"/>
              <w:rPr>
                <w:rFonts w:eastAsia="宋体"/>
                <w:sz w:val="24"/>
                <w:szCs w:val="24"/>
              </w:rPr>
            </w:pPr>
            <w:r>
              <w:rPr>
                <w:rFonts w:eastAsia="宋体"/>
                <w:sz w:val="24"/>
                <w:szCs w:val="24"/>
              </w:rPr>
              <w:t>气</w:t>
            </w:r>
          </w:p>
          <w:p>
            <w:pPr>
              <w:snapToGrid w:val="0"/>
              <w:jc w:val="center"/>
              <w:rPr>
                <w:rFonts w:eastAsia="宋体"/>
                <w:sz w:val="24"/>
                <w:szCs w:val="24"/>
              </w:rPr>
            </w:pPr>
            <w:r>
              <w:rPr>
                <w:rFonts w:eastAsia="宋体"/>
                <w:sz w:val="24"/>
                <w:szCs w:val="24"/>
              </w:rPr>
              <w:t>污</w:t>
            </w:r>
          </w:p>
          <w:p>
            <w:pPr>
              <w:snapToGrid w:val="0"/>
              <w:jc w:val="center"/>
              <w:rPr>
                <w:rFonts w:eastAsia="宋体"/>
                <w:sz w:val="24"/>
                <w:szCs w:val="24"/>
              </w:rPr>
            </w:pPr>
            <w:r>
              <w:rPr>
                <w:rFonts w:eastAsia="宋体"/>
                <w:sz w:val="24"/>
                <w:szCs w:val="24"/>
              </w:rPr>
              <w:t>染</w:t>
            </w:r>
          </w:p>
          <w:p>
            <w:pPr>
              <w:snapToGrid w:val="0"/>
              <w:jc w:val="center"/>
              <w:rPr>
                <w:rFonts w:eastAsia="宋体"/>
              </w:rPr>
            </w:pPr>
            <w:r>
              <w:rPr>
                <w:rFonts w:eastAsia="宋体"/>
                <w:sz w:val="24"/>
                <w:szCs w:val="24"/>
              </w:rPr>
              <w:t>物</w:t>
            </w:r>
          </w:p>
        </w:tc>
        <w:tc>
          <w:tcPr>
            <w:tcW w:w="1405" w:type="dxa"/>
            <w:vMerge w:val="restart"/>
            <w:vAlign w:val="center"/>
          </w:tcPr>
          <w:p>
            <w:pPr>
              <w:pStyle w:val="36"/>
              <w:spacing w:line="240" w:lineRule="auto"/>
              <w:ind w:firstLine="0" w:firstLineChars="0"/>
              <w:jc w:val="center"/>
            </w:pPr>
            <w:r>
              <w:rPr>
                <w:rFonts w:hint="eastAsia"/>
              </w:rPr>
              <w:t>1#排气筒</w:t>
            </w:r>
          </w:p>
        </w:tc>
        <w:tc>
          <w:tcPr>
            <w:tcW w:w="1407" w:type="dxa"/>
            <w:vAlign w:val="center"/>
          </w:tcPr>
          <w:p>
            <w:pPr>
              <w:snapToGrid w:val="0"/>
              <w:ind w:right="-122" w:hanging="108"/>
              <w:jc w:val="center"/>
              <w:rPr>
                <w:rFonts w:eastAsia="宋体"/>
                <w:sz w:val="24"/>
                <w:szCs w:val="24"/>
              </w:rPr>
            </w:pPr>
            <w:r>
              <w:rPr>
                <w:rFonts w:hint="eastAsia" w:eastAsia="宋体"/>
                <w:sz w:val="24"/>
                <w:szCs w:val="24"/>
              </w:rPr>
              <w:t>颗粒物</w:t>
            </w:r>
          </w:p>
        </w:tc>
        <w:tc>
          <w:tcPr>
            <w:tcW w:w="2126" w:type="dxa"/>
            <w:vAlign w:val="center"/>
          </w:tcPr>
          <w:p>
            <w:pPr>
              <w:snapToGrid w:val="0"/>
              <w:jc w:val="center"/>
              <w:rPr>
                <w:rFonts w:eastAsia="宋体"/>
                <w:sz w:val="24"/>
              </w:rPr>
            </w:pPr>
            <w:r>
              <w:rPr>
                <w:rFonts w:eastAsia="宋体"/>
                <w:sz w:val="24"/>
              </w:rPr>
              <w:t>0.159t/a</w:t>
            </w:r>
          </w:p>
        </w:tc>
        <w:tc>
          <w:tcPr>
            <w:tcW w:w="1096" w:type="dxa"/>
            <w:vAlign w:val="center"/>
          </w:tcPr>
          <w:p>
            <w:pPr>
              <w:snapToGrid w:val="0"/>
              <w:jc w:val="center"/>
              <w:rPr>
                <w:rFonts w:eastAsia="宋体"/>
                <w:sz w:val="24"/>
              </w:rPr>
            </w:pPr>
            <w:r>
              <w:rPr>
                <w:rFonts w:hint="eastAsia" w:eastAsia="宋体"/>
                <w:sz w:val="24"/>
              </w:rPr>
              <w:t>有组织</w:t>
            </w:r>
          </w:p>
        </w:tc>
        <w:tc>
          <w:tcPr>
            <w:tcW w:w="1572" w:type="dxa"/>
            <w:vAlign w:val="center"/>
          </w:tcPr>
          <w:p>
            <w:pPr>
              <w:snapToGrid w:val="0"/>
              <w:jc w:val="center"/>
              <w:rPr>
                <w:rFonts w:eastAsia="宋体"/>
                <w:sz w:val="24"/>
              </w:rPr>
            </w:pPr>
            <w:r>
              <w:rPr>
                <w:rFonts w:eastAsia="宋体"/>
                <w:sz w:val="24"/>
              </w:rPr>
              <w:t>0.04</w:t>
            </w:r>
            <w:r>
              <w:rPr>
                <w:rFonts w:hint="eastAsia" w:eastAsia="宋体"/>
                <w:sz w:val="24"/>
              </w:rPr>
              <w:t>mg/m</w:t>
            </w:r>
            <w:r>
              <w:rPr>
                <w:rFonts w:hint="eastAsia" w:eastAsia="宋体"/>
                <w:sz w:val="24"/>
                <w:vertAlign w:val="superscript"/>
              </w:rPr>
              <w:t>3</w:t>
            </w:r>
            <w:r>
              <w:rPr>
                <w:rFonts w:hint="eastAsia" w:eastAsia="宋体"/>
                <w:sz w:val="24"/>
              </w:rPr>
              <w:t>；</w:t>
            </w:r>
            <w:r>
              <w:rPr>
                <w:rFonts w:eastAsia="宋体"/>
                <w:sz w:val="24"/>
              </w:rPr>
              <w:t>0.00143t</w:t>
            </w:r>
            <w:r>
              <w:rPr>
                <w:rFonts w:hint="eastAsia" w:eastAsia="宋体"/>
                <w:sz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35" w:type="dxa"/>
            <w:gridSpan w:val="2"/>
            <w:vMerge w:val="continue"/>
            <w:vAlign w:val="center"/>
          </w:tcPr>
          <w:p>
            <w:pPr>
              <w:snapToGrid w:val="0"/>
              <w:jc w:val="center"/>
              <w:rPr>
                <w:rFonts w:eastAsia="宋体"/>
                <w:color w:val="FF0000"/>
                <w:sz w:val="24"/>
                <w:szCs w:val="24"/>
              </w:rPr>
            </w:pPr>
          </w:p>
        </w:tc>
        <w:tc>
          <w:tcPr>
            <w:tcW w:w="1405" w:type="dxa"/>
            <w:vMerge w:val="continue"/>
            <w:vAlign w:val="center"/>
          </w:tcPr>
          <w:p>
            <w:pPr>
              <w:snapToGrid w:val="0"/>
              <w:jc w:val="center"/>
              <w:rPr>
                <w:rFonts w:eastAsia="宋体"/>
                <w:color w:val="FF0000"/>
                <w:sz w:val="24"/>
                <w:szCs w:val="24"/>
              </w:rPr>
            </w:pPr>
          </w:p>
        </w:tc>
        <w:tc>
          <w:tcPr>
            <w:tcW w:w="1407" w:type="dxa"/>
            <w:vAlign w:val="center"/>
          </w:tcPr>
          <w:p>
            <w:pPr>
              <w:snapToGrid w:val="0"/>
              <w:jc w:val="center"/>
              <w:rPr>
                <w:rFonts w:eastAsia="宋体"/>
                <w:sz w:val="24"/>
                <w:szCs w:val="24"/>
              </w:rPr>
            </w:pPr>
            <w:r>
              <w:rPr>
                <w:rFonts w:hint="eastAsia" w:eastAsia="宋体"/>
                <w:sz w:val="24"/>
                <w:szCs w:val="24"/>
              </w:rPr>
              <w:t>非甲烷总烃</w:t>
            </w:r>
          </w:p>
        </w:tc>
        <w:tc>
          <w:tcPr>
            <w:tcW w:w="2126" w:type="dxa"/>
            <w:vAlign w:val="center"/>
          </w:tcPr>
          <w:p>
            <w:pPr>
              <w:snapToGrid w:val="0"/>
              <w:jc w:val="center"/>
              <w:rPr>
                <w:rFonts w:eastAsia="宋体"/>
                <w:sz w:val="24"/>
                <w:szCs w:val="24"/>
              </w:rPr>
            </w:pPr>
            <w:r>
              <w:rPr>
                <w:rFonts w:hint="eastAsia" w:eastAsia="宋体"/>
                <w:sz w:val="24"/>
                <w:szCs w:val="24"/>
              </w:rPr>
              <w:t>0</w:t>
            </w:r>
            <w:r>
              <w:rPr>
                <w:rFonts w:eastAsia="宋体"/>
                <w:sz w:val="24"/>
                <w:szCs w:val="24"/>
              </w:rPr>
              <w:t>.104</w:t>
            </w:r>
          </w:p>
        </w:tc>
        <w:tc>
          <w:tcPr>
            <w:tcW w:w="1096" w:type="dxa"/>
            <w:vAlign w:val="center"/>
          </w:tcPr>
          <w:p>
            <w:pPr>
              <w:snapToGrid w:val="0"/>
              <w:jc w:val="center"/>
              <w:rPr>
                <w:rFonts w:eastAsia="宋体"/>
                <w:sz w:val="24"/>
                <w:szCs w:val="24"/>
              </w:rPr>
            </w:pPr>
            <w:r>
              <w:rPr>
                <w:rFonts w:hint="eastAsia" w:eastAsia="宋体"/>
                <w:sz w:val="24"/>
              </w:rPr>
              <w:t>有组织</w:t>
            </w:r>
          </w:p>
        </w:tc>
        <w:tc>
          <w:tcPr>
            <w:tcW w:w="1572" w:type="dxa"/>
            <w:vAlign w:val="center"/>
          </w:tcPr>
          <w:p>
            <w:pPr>
              <w:snapToGrid w:val="0"/>
              <w:jc w:val="center"/>
              <w:rPr>
                <w:rFonts w:eastAsia="宋体"/>
                <w:sz w:val="24"/>
                <w:szCs w:val="24"/>
              </w:rPr>
            </w:pPr>
            <w:r>
              <w:rPr>
                <w:rFonts w:eastAsia="宋体"/>
                <w:sz w:val="24"/>
              </w:rPr>
              <w:t>0.029</w:t>
            </w:r>
            <w:r>
              <w:rPr>
                <w:rFonts w:hint="eastAsia" w:eastAsia="宋体"/>
                <w:sz w:val="24"/>
              </w:rPr>
              <w:t>mg/m</w:t>
            </w:r>
            <w:r>
              <w:rPr>
                <w:rFonts w:hint="eastAsia" w:eastAsia="宋体"/>
                <w:sz w:val="24"/>
                <w:vertAlign w:val="superscript"/>
              </w:rPr>
              <w:t>3</w:t>
            </w:r>
            <w:r>
              <w:rPr>
                <w:rFonts w:hint="eastAsia" w:eastAsia="宋体"/>
                <w:sz w:val="24"/>
              </w:rPr>
              <w:t>；</w:t>
            </w:r>
            <w:r>
              <w:rPr>
                <w:sz w:val="24"/>
                <w:szCs w:val="24"/>
              </w:rPr>
              <w:t>0.001t</w:t>
            </w:r>
            <w:r>
              <w:rPr>
                <w:rFonts w:hint="eastAsia"/>
                <w:sz w:val="24"/>
                <w:szCs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135" w:type="dxa"/>
            <w:gridSpan w:val="2"/>
            <w:vAlign w:val="center"/>
          </w:tcPr>
          <w:p>
            <w:pPr>
              <w:snapToGrid w:val="0"/>
              <w:jc w:val="center"/>
              <w:rPr>
                <w:rFonts w:eastAsia="宋体"/>
                <w:sz w:val="24"/>
                <w:szCs w:val="24"/>
              </w:rPr>
            </w:pPr>
            <w:r>
              <w:rPr>
                <w:rFonts w:hint="eastAsia" w:eastAsia="宋体"/>
                <w:sz w:val="24"/>
                <w:szCs w:val="24"/>
              </w:rPr>
              <w:t>水</w:t>
            </w:r>
          </w:p>
          <w:p>
            <w:pPr>
              <w:snapToGrid w:val="0"/>
              <w:jc w:val="center"/>
              <w:rPr>
                <w:rFonts w:eastAsia="宋体"/>
                <w:sz w:val="24"/>
                <w:szCs w:val="24"/>
              </w:rPr>
            </w:pPr>
            <w:r>
              <w:rPr>
                <w:rFonts w:hint="eastAsia" w:eastAsia="宋体"/>
                <w:sz w:val="24"/>
                <w:szCs w:val="24"/>
              </w:rPr>
              <w:t>污</w:t>
            </w:r>
          </w:p>
          <w:p>
            <w:pPr>
              <w:snapToGrid w:val="0"/>
              <w:jc w:val="center"/>
              <w:rPr>
                <w:rFonts w:eastAsia="宋体"/>
                <w:sz w:val="24"/>
                <w:szCs w:val="24"/>
              </w:rPr>
            </w:pPr>
            <w:r>
              <w:rPr>
                <w:rFonts w:hint="eastAsia" w:eastAsia="宋体"/>
                <w:sz w:val="24"/>
                <w:szCs w:val="24"/>
              </w:rPr>
              <w:t>染</w:t>
            </w:r>
          </w:p>
          <w:p>
            <w:pPr>
              <w:snapToGrid w:val="0"/>
              <w:jc w:val="center"/>
              <w:rPr>
                <w:rFonts w:eastAsia="宋体"/>
              </w:rPr>
            </w:pPr>
            <w:r>
              <w:rPr>
                <w:rFonts w:hint="eastAsia" w:eastAsia="宋体"/>
                <w:sz w:val="24"/>
                <w:szCs w:val="24"/>
              </w:rPr>
              <w:t>物</w:t>
            </w:r>
          </w:p>
        </w:tc>
        <w:tc>
          <w:tcPr>
            <w:tcW w:w="1405" w:type="dxa"/>
            <w:vAlign w:val="center"/>
          </w:tcPr>
          <w:p>
            <w:pPr>
              <w:snapToGrid w:val="0"/>
              <w:ind w:right="-122" w:hanging="108"/>
              <w:jc w:val="center"/>
              <w:rPr>
                <w:rFonts w:eastAsia="宋体"/>
                <w:sz w:val="24"/>
                <w:szCs w:val="24"/>
              </w:rPr>
            </w:pPr>
            <w:r>
              <w:rPr>
                <w:rFonts w:hint="eastAsia" w:eastAsia="宋体"/>
                <w:sz w:val="24"/>
                <w:szCs w:val="24"/>
              </w:rPr>
              <w:t>员工生活</w:t>
            </w:r>
          </w:p>
        </w:tc>
        <w:tc>
          <w:tcPr>
            <w:tcW w:w="1407" w:type="dxa"/>
            <w:vAlign w:val="center"/>
          </w:tcPr>
          <w:p>
            <w:pPr>
              <w:snapToGrid w:val="0"/>
              <w:ind w:right="-122" w:hanging="108"/>
              <w:jc w:val="center"/>
              <w:rPr>
                <w:rFonts w:eastAsia="宋体"/>
                <w:sz w:val="24"/>
                <w:szCs w:val="24"/>
              </w:rPr>
            </w:pPr>
            <w:r>
              <w:rPr>
                <w:rFonts w:hint="eastAsia" w:eastAsia="宋体"/>
                <w:sz w:val="24"/>
                <w:szCs w:val="24"/>
              </w:rPr>
              <w:t>生活污水</w:t>
            </w:r>
          </w:p>
        </w:tc>
        <w:tc>
          <w:tcPr>
            <w:tcW w:w="2126" w:type="dxa"/>
            <w:vAlign w:val="center"/>
          </w:tcPr>
          <w:p>
            <w:pPr>
              <w:snapToGrid w:val="0"/>
              <w:ind w:right="-122" w:hanging="108"/>
              <w:jc w:val="center"/>
              <w:rPr>
                <w:rFonts w:eastAsia="宋体"/>
                <w:sz w:val="24"/>
                <w:szCs w:val="24"/>
              </w:rPr>
            </w:pPr>
            <w:r>
              <w:rPr>
                <w:rFonts w:eastAsia="宋体"/>
                <w:sz w:val="24"/>
                <w:szCs w:val="24"/>
              </w:rPr>
              <w:t>36</w:t>
            </w:r>
            <w:r>
              <w:rPr>
                <w:rFonts w:hint="eastAsia" w:eastAsia="宋体"/>
                <w:sz w:val="24"/>
                <w:szCs w:val="24"/>
              </w:rPr>
              <w:t>t/a</w:t>
            </w:r>
          </w:p>
        </w:tc>
        <w:tc>
          <w:tcPr>
            <w:tcW w:w="2668" w:type="dxa"/>
            <w:gridSpan w:val="2"/>
            <w:vAlign w:val="center"/>
          </w:tcPr>
          <w:p>
            <w:pPr>
              <w:pStyle w:val="19"/>
              <w:jc w:val="both"/>
              <w:rPr>
                <w:rFonts w:eastAsia="宋体"/>
                <w:sz w:val="24"/>
                <w:szCs w:val="24"/>
              </w:rPr>
            </w:pPr>
            <w:r>
              <w:rPr>
                <w:rFonts w:hint="eastAsia"/>
                <w:sz w:val="24"/>
                <w:szCs w:val="24"/>
              </w:rPr>
              <w:t>排入旱厕，由环卫部门定期收集。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67" w:type="dxa"/>
            <w:vMerge w:val="restart"/>
            <w:vAlign w:val="center"/>
          </w:tcPr>
          <w:p>
            <w:pPr>
              <w:adjustRightInd w:val="0"/>
              <w:snapToGrid w:val="0"/>
              <w:jc w:val="center"/>
              <w:rPr>
                <w:rFonts w:eastAsia="宋体"/>
                <w:sz w:val="24"/>
                <w:szCs w:val="24"/>
              </w:rPr>
            </w:pPr>
            <w:r>
              <w:rPr>
                <w:rFonts w:eastAsia="宋体"/>
                <w:sz w:val="24"/>
                <w:szCs w:val="24"/>
              </w:rPr>
              <w:t>固</w:t>
            </w:r>
          </w:p>
          <w:p>
            <w:pPr>
              <w:adjustRightInd w:val="0"/>
              <w:snapToGrid w:val="0"/>
              <w:jc w:val="center"/>
              <w:rPr>
                <w:rFonts w:eastAsia="宋体"/>
                <w:sz w:val="24"/>
                <w:szCs w:val="24"/>
              </w:rPr>
            </w:pPr>
            <w:r>
              <w:rPr>
                <w:rFonts w:eastAsia="宋体"/>
                <w:sz w:val="24"/>
                <w:szCs w:val="24"/>
              </w:rPr>
              <w:t>体</w:t>
            </w:r>
          </w:p>
          <w:p>
            <w:pPr>
              <w:adjustRightInd w:val="0"/>
              <w:snapToGrid w:val="0"/>
              <w:jc w:val="center"/>
              <w:rPr>
                <w:rFonts w:eastAsia="宋体"/>
                <w:sz w:val="24"/>
                <w:szCs w:val="24"/>
              </w:rPr>
            </w:pPr>
            <w:r>
              <w:rPr>
                <w:rFonts w:eastAsia="宋体"/>
                <w:sz w:val="24"/>
                <w:szCs w:val="24"/>
              </w:rPr>
              <w:t>废</w:t>
            </w:r>
          </w:p>
          <w:p>
            <w:pPr>
              <w:adjustRightInd w:val="0"/>
              <w:snapToGrid w:val="0"/>
              <w:jc w:val="center"/>
              <w:rPr>
                <w:rFonts w:eastAsia="宋体"/>
                <w:sz w:val="24"/>
                <w:szCs w:val="24"/>
              </w:rPr>
            </w:pPr>
            <w:r>
              <w:rPr>
                <w:rFonts w:eastAsia="宋体"/>
                <w:sz w:val="24"/>
                <w:szCs w:val="24"/>
              </w:rPr>
              <w:t>弃</w:t>
            </w:r>
          </w:p>
          <w:p>
            <w:pPr>
              <w:adjustRightInd w:val="0"/>
              <w:snapToGrid w:val="0"/>
              <w:jc w:val="center"/>
              <w:rPr>
                <w:rFonts w:eastAsia="宋体"/>
                <w:sz w:val="24"/>
                <w:szCs w:val="24"/>
              </w:rPr>
            </w:pPr>
            <w:r>
              <w:rPr>
                <w:rFonts w:eastAsia="宋体"/>
                <w:sz w:val="24"/>
                <w:szCs w:val="24"/>
              </w:rPr>
              <w:t>物</w:t>
            </w:r>
          </w:p>
        </w:tc>
        <w:tc>
          <w:tcPr>
            <w:tcW w:w="568" w:type="dxa"/>
            <w:vMerge w:val="restart"/>
            <w:vAlign w:val="center"/>
          </w:tcPr>
          <w:p>
            <w:pPr>
              <w:adjustRightInd w:val="0"/>
              <w:snapToGrid w:val="0"/>
              <w:jc w:val="center"/>
              <w:rPr>
                <w:rFonts w:eastAsia="宋体"/>
                <w:sz w:val="24"/>
                <w:szCs w:val="24"/>
              </w:rPr>
            </w:pPr>
            <w:r>
              <w:rPr>
                <w:rFonts w:hint="eastAsia" w:eastAsia="宋体"/>
                <w:sz w:val="24"/>
                <w:szCs w:val="24"/>
              </w:rPr>
              <w:t>一般固废</w:t>
            </w:r>
          </w:p>
        </w:tc>
        <w:tc>
          <w:tcPr>
            <w:tcW w:w="2812" w:type="dxa"/>
            <w:gridSpan w:val="2"/>
            <w:vAlign w:val="center"/>
          </w:tcPr>
          <w:p>
            <w:pPr>
              <w:pStyle w:val="19"/>
              <w:snapToGrid w:val="0"/>
              <w:rPr>
                <w:sz w:val="24"/>
                <w:szCs w:val="24"/>
              </w:rPr>
            </w:pPr>
            <w:r>
              <w:rPr>
                <w:rFonts w:hint="eastAsia"/>
                <w:sz w:val="24"/>
                <w:szCs w:val="24"/>
              </w:rPr>
              <w:t>生活垃圾</w:t>
            </w:r>
          </w:p>
        </w:tc>
        <w:tc>
          <w:tcPr>
            <w:tcW w:w="2126" w:type="dxa"/>
            <w:vAlign w:val="center"/>
          </w:tcPr>
          <w:p>
            <w:pPr>
              <w:pStyle w:val="19"/>
              <w:snapToGrid w:val="0"/>
              <w:rPr>
                <w:sz w:val="24"/>
                <w:szCs w:val="24"/>
              </w:rPr>
            </w:pPr>
            <w:r>
              <w:rPr>
                <w:rFonts w:hint="eastAsia" w:eastAsia="宋体"/>
                <w:sz w:val="24"/>
                <w:szCs w:val="24"/>
              </w:rPr>
              <w:t>0</w:t>
            </w:r>
            <w:r>
              <w:rPr>
                <w:rFonts w:eastAsia="宋体"/>
                <w:sz w:val="24"/>
                <w:szCs w:val="24"/>
              </w:rPr>
              <w:t>.6</w:t>
            </w:r>
            <w:r>
              <w:rPr>
                <w:rFonts w:hint="eastAsia" w:eastAsia="宋体"/>
                <w:sz w:val="24"/>
                <w:szCs w:val="24"/>
              </w:rPr>
              <w:t>t/a</w:t>
            </w:r>
          </w:p>
        </w:tc>
        <w:tc>
          <w:tcPr>
            <w:tcW w:w="2668" w:type="dxa"/>
            <w:gridSpan w:val="2"/>
            <w:vAlign w:val="center"/>
          </w:tcPr>
          <w:p>
            <w:pPr>
              <w:pStyle w:val="19"/>
              <w:snapToGrid w:val="0"/>
              <w:rPr>
                <w:sz w:val="24"/>
                <w:szCs w:val="24"/>
              </w:rPr>
            </w:pPr>
            <w:r>
              <w:rPr>
                <w:rFonts w:hint="eastAsia"/>
                <w:sz w:val="24"/>
                <w:szCs w:val="24"/>
              </w:rPr>
              <w:t>由环卫部门定期收集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67" w:type="dxa"/>
            <w:vMerge w:val="continue"/>
            <w:vAlign w:val="center"/>
          </w:tcPr>
          <w:p>
            <w:pPr>
              <w:adjustRightInd w:val="0"/>
              <w:snapToGrid w:val="0"/>
              <w:jc w:val="center"/>
              <w:rPr>
                <w:rFonts w:eastAsia="宋体"/>
                <w:sz w:val="24"/>
                <w:szCs w:val="24"/>
              </w:rPr>
            </w:pPr>
          </w:p>
        </w:tc>
        <w:tc>
          <w:tcPr>
            <w:tcW w:w="568" w:type="dxa"/>
            <w:vMerge w:val="continue"/>
            <w:vAlign w:val="center"/>
          </w:tcPr>
          <w:p>
            <w:pPr>
              <w:adjustRightInd w:val="0"/>
              <w:snapToGrid w:val="0"/>
              <w:jc w:val="center"/>
              <w:rPr>
                <w:rFonts w:eastAsia="宋体"/>
                <w:sz w:val="24"/>
                <w:szCs w:val="24"/>
              </w:rPr>
            </w:pPr>
          </w:p>
        </w:tc>
        <w:tc>
          <w:tcPr>
            <w:tcW w:w="2812" w:type="dxa"/>
            <w:gridSpan w:val="2"/>
            <w:vAlign w:val="center"/>
          </w:tcPr>
          <w:p>
            <w:pPr>
              <w:pStyle w:val="19"/>
              <w:snapToGrid w:val="0"/>
              <w:rPr>
                <w:sz w:val="24"/>
                <w:szCs w:val="24"/>
              </w:rPr>
            </w:pPr>
            <w:r>
              <w:rPr>
                <w:rFonts w:hint="eastAsia"/>
                <w:sz w:val="24"/>
                <w:szCs w:val="24"/>
              </w:rPr>
              <w:t>收集粉尘</w:t>
            </w:r>
          </w:p>
        </w:tc>
        <w:tc>
          <w:tcPr>
            <w:tcW w:w="2126" w:type="dxa"/>
            <w:vAlign w:val="center"/>
          </w:tcPr>
          <w:p>
            <w:pPr>
              <w:pStyle w:val="19"/>
              <w:snapToGrid w:val="0"/>
              <w:rPr>
                <w:sz w:val="24"/>
                <w:szCs w:val="24"/>
              </w:rPr>
            </w:pPr>
            <w:r>
              <w:rPr>
                <w:rFonts w:hint="eastAsia" w:eastAsia="宋体"/>
                <w:sz w:val="24"/>
                <w:szCs w:val="24"/>
              </w:rPr>
              <w:t>0</w:t>
            </w:r>
            <w:r>
              <w:rPr>
                <w:rFonts w:eastAsia="宋体"/>
                <w:sz w:val="24"/>
                <w:szCs w:val="24"/>
              </w:rPr>
              <w:t>.</w:t>
            </w:r>
            <w:r>
              <w:rPr>
                <w:rFonts w:hint="eastAsia" w:eastAsia="宋体"/>
                <w:sz w:val="24"/>
                <w:szCs w:val="24"/>
              </w:rPr>
              <w:t>142t/a</w:t>
            </w:r>
          </w:p>
        </w:tc>
        <w:tc>
          <w:tcPr>
            <w:tcW w:w="2668" w:type="dxa"/>
            <w:gridSpan w:val="2"/>
            <w:vAlign w:val="center"/>
          </w:tcPr>
          <w:p>
            <w:pPr>
              <w:pStyle w:val="19"/>
              <w:snapToGrid w:val="0"/>
              <w:rPr>
                <w:sz w:val="24"/>
                <w:szCs w:val="24"/>
              </w:rPr>
            </w:pPr>
            <w:r>
              <w:rPr>
                <w:rFonts w:hint="eastAsia"/>
                <w:sz w:val="24"/>
                <w:szCs w:val="24"/>
              </w:rPr>
              <w:t>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567" w:type="dxa"/>
            <w:vMerge w:val="continue"/>
            <w:vAlign w:val="center"/>
          </w:tcPr>
          <w:p>
            <w:pPr>
              <w:pStyle w:val="19"/>
              <w:snapToGrid w:val="0"/>
            </w:pPr>
          </w:p>
        </w:tc>
        <w:tc>
          <w:tcPr>
            <w:tcW w:w="568" w:type="dxa"/>
            <w:vMerge w:val="continue"/>
            <w:vAlign w:val="center"/>
          </w:tcPr>
          <w:p>
            <w:pPr>
              <w:pStyle w:val="19"/>
              <w:snapToGrid w:val="0"/>
            </w:pPr>
          </w:p>
        </w:tc>
        <w:tc>
          <w:tcPr>
            <w:tcW w:w="2812" w:type="dxa"/>
            <w:gridSpan w:val="2"/>
            <w:vAlign w:val="center"/>
          </w:tcPr>
          <w:p>
            <w:pPr>
              <w:pStyle w:val="19"/>
              <w:snapToGrid w:val="0"/>
              <w:rPr>
                <w:rFonts w:eastAsia="宋体"/>
                <w:sz w:val="24"/>
                <w:szCs w:val="24"/>
              </w:rPr>
            </w:pPr>
            <w:r>
              <w:rPr>
                <w:rFonts w:hint="eastAsia" w:eastAsia="宋体"/>
                <w:sz w:val="24"/>
                <w:szCs w:val="24"/>
              </w:rPr>
              <w:t>废包装袋</w:t>
            </w:r>
          </w:p>
        </w:tc>
        <w:tc>
          <w:tcPr>
            <w:tcW w:w="2126" w:type="dxa"/>
            <w:vAlign w:val="center"/>
          </w:tcPr>
          <w:p>
            <w:pPr>
              <w:pStyle w:val="19"/>
              <w:snapToGrid w:val="0"/>
              <w:rPr>
                <w:rFonts w:eastAsia="宋体"/>
                <w:sz w:val="24"/>
                <w:szCs w:val="24"/>
              </w:rPr>
            </w:pPr>
            <w:r>
              <w:rPr>
                <w:rFonts w:hint="eastAsia" w:eastAsia="宋体"/>
                <w:sz w:val="24"/>
                <w:szCs w:val="24"/>
              </w:rPr>
              <w:t>0</w:t>
            </w:r>
            <w:r>
              <w:rPr>
                <w:rFonts w:eastAsia="宋体"/>
                <w:sz w:val="24"/>
                <w:szCs w:val="24"/>
              </w:rPr>
              <w:t>.</w:t>
            </w:r>
            <w:r>
              <w:rPr>
                <w:rFonts w:hint="eastAsia" w:eastAsia="宋体"/>
                <w:sz w:val="24"/>
                <w:szCs w:val="24"/>
              </w:rPr>
              <w:t>1t/a</w:t>
            </w:r>
          </w:p>
        </w:tc>
        <w:tc>
          <w:tcPr>
            <w:tcW w:w="2668" w:type="dxa"/>
            <w:gridSpan w:val="2"/>
            <w:vAlign w:val="center"/>
          </w:tcPr>
          <w:p>
            <w:pPr>
              <w:pStyle w:val="19"/>
              <w:snapToGrid w:val="0"/>
              <w:rPr>
                <w:rFonts w:eastAsia="宋体"/>
                <w:sz w:val="24"/>
                <w:szCs w:val="24"/>
              </w:rPr>
            </w:pPr>
            <w:r>
              <w:rPr>
                <w:rFonts w:hint="eastAsia" w:eastAsia="宋体"/>
                <w:sz w:val="24"/>
                <w:szCs w:val="24"/>
              </w:rPr>
              <w:t>出售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67" w:type="dxa"/>
            <w:vMerge w:val="continue"/>
            <w:vAlign w:val="center"/>
          </w:tcPr>
          <w:p>
            <w:pPr>
              <w:pStyle w:val="19"/>
              <w:snapToGrid w:val="0"/>
              <w:rPr>
                <w:rFonts w:eastAsia="宋体"/>
                <w:sz w:val="24"/>
                <w:szCs w:val="24"/>
              </w:rPr>
            </w:pPr>
          </w:p>
        </w:tc>
        <w:tc>
          <w:tcPr>
            <w:tcW w:w="568" w:type="dxa"/>
            <w:vMerge w:val="restart"/>
            <w:vAlign w:val="center"/>
          </w:tcPr>
          <w:p>
            <w:pPr>
              <w:pStyle w:val="19"/>
              <w:snapToGrid w:val="0"/>
              <w:rPr>
                <w:rFonts w:eastAsia="宋体"/>
                <w:sz w:val="24"/>
                <w:szCs w:val="24"/>
              </w:rPr>
            </w:pPr>
            <w:r>
              <w:rPr>
                <w:rFonts w:hint="eastAsia" w:eastAsia="宋体"/>
                <w:sz w:val="24"/>
                <w:szCs w:val="24"/>
              </w:rPr>
              <w:t>危险废物</w:t>
            </w:r>
          </w:p>
        </w:tc>
        <w:tc>
          <w:tcPr>
            <w:tcW w:w="2812" w:type="dxa"/>
            <w:gridSpan w:val="2"/>
            <w:vAlign w:val="center"/>
          </w:tcPr>
          <w:p>
            <w:pPr>
              <w:pStyle w:val="19"/>
              <w:snapToGrid w:val="0"/>
              <w:rPr>
                <w:rFonts w:eastAsia="宋体"/>
                <w:sz w:val="24"/>
                <w:szCs w:val="24"/>
              </w:rPr>
            </w:pPr>
            <w:r>
              <w:rPr>
                <w:rFonts w:hint="eastAsia" w:eastAsia="宋体"/>
                <w:sz w:val="24"/>
                <w:szCs w:val="24"/>
              </w:rPr>
              <w:t>废氯丁胶桶</w:t>
            </w:r>
          </w:p>
        </w:tc>
        <w:tc>
          <w:tcPr>
            <w:tcW w:w="2126" w:type="dxa"/>
            <w:vAlign w:val="center"/>
          </w:tcPr>
          <w:p>
            <w:pPr>
              <w:pStyle w:val="19"/>
              <w:snapToGrid w:val="0"/>
              <w:rPr>
                <w:rFonts w:eastAsia="宋体"/>
                <w:sz w:val="24"/>
                <w:szCs w:val="24"/>
              </w:rPr>
            </w:pPr>
            <w:r>
              <w:rPr>
                <w:rFonts w:eastAsia="宋体"/>
                <w:sz w:val="24"/>
                <w:szCs w:val="24"/>
              </w:rPr>
              <w:t>70</w:t>
            </w:r>
            <w:r>
              <w:rPr>
                <w:rFonts w:hint="eastAsia" w:eastAsia="宋体"/>
                <w:sz w:val="24"/>
                <w:szCs w:val="24"/>
              </w:rPr>
              <w:t>个/a</w:t>
            </w:r>
          </w:p>
        </w:tc>
        <w:tc>
          <w:tcPr>
            <w:tcW w:w="2668" w:type="dxa"/>
            <w:gridSpan w:val="2"/>
            <w:vMerge w:val="restart"/>
            <w:vAlign w:val="center"/>
          </w:tcPr>
          <w:p>
            <w:pPr>
              <w:pStyle w:val="19"/>
              <w:snapToGrid w:val="0"/>
              <w:rPr>
                <w:rFonts w:eastAsia="宋体"/>
                <w:sz w:val="24"/>
                <w:szCs w:val="24"/>
              </w:rPr>
            </w:pPr>
            <w:r>
              <w:rPr>
                <w:rFonts w:hint="eastAsia" w:eastAsia="宋体"/>
                <w:sz w:val="24"/>
                <w:szCs w:val="24"/>
              </w:rPr>
              <w:t>交有资质单位处置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567" w:type="dxa"/>
            <w:vMerge w:val="continue"/>
            <w:vAlign w:val="center"/>
          </w:tcPr>
          <w:p>
            <w:pPr>
              <w:pStyle w:val="19"/>
              <w:snapToGrid w:val="0"/>
              <w:rPr>
                <w:rFonts w:eastAsia="宋体"/>
                <w:sz w:val="24"/>
                <w:szCs w:val="24"/>
              </w:rPr>
            </w:pPr>
          </w:p>
        </w:tc>
        <w:tc>
          <w:tcPr>
            <w:tcW w:w="568" w:type="dxa"/>
            <w:vMerge w:val="continue"/>
            <w:vAlign w:val="center"/>
          </w:tcPr>
          <w:p>
            <w:pPr>
              <w:pStyle w:val="19"/>
              <w:snapToGrid w:val="0"/>
              <w:rPr>
                <w:rFonts w:eastAsia="宋体"/>
                <w:sz w:val="24"/>
                <w:szCs w:val="24"/>
              </w:rPr>
            </w:pPr>
          </w:p>
        </w:tc>
        <w:tc>
          <w:tcPr>
            <w:tcW w:w="2812" w:type="dxa"/>
            <w:gridSpan w:val="2"/>
            <w:vAlign w:val="center"/>
          </w:tcPr>
          <w:p>
            <w:pPr>
              <w:pStyle w:val="19"/>
              <w:snapToGrid w:val="0"/>
              <w:rPr>
                <w:rFonts w:eastAsia="宋体"/>
                <w:sz w:val="24"/>
                <w:szCs w:val="24"/>
              </w:rPr>
            </w:pPr>
            <w:r>
              <w:rPr>
                <w:rFonts w:hint="eastAsia" w:eastAsia="宋体"/>
                <w:sz w:val="24"/>
                <w:szCs w:val="24"/>
              </w:rPr>
              <w:t>废液压油</w:t>
            </w:r>
          </w:p>
        </w:tc>
        <w:tc>
          <w:tcPr>
            <w:tcW w:w="2126" w:type="dxa"/>
            <w:vAlign w:val="center"/>
          </w:tcPr>
          <w:p>
            <w:pPr>
              <w:pStyle w:val="19"/>
              <w:snapToGrid w:val="0"/>
              <w:rPr>
                <w:rFonts w:eastAsia="宋体"/>
                <w:sz w:val="24"/>
                <w:szCs w:val="24"/>
              </w:rPr>
            </w:pPr>
            <w:r>
              <w:rPr>
                <w:rFonts w:hint="eastAsia" w:eastAsia="宋体"/>
                <w:sz w:val="24"/>
                <w:szCs w:val="24"/>
              </w:rPr>
              <w:t>1</w:t>
            </w:r>
            <w:r>
              <w:rPr>
                <w:rFonts w:eastAsia="宋体"/>
                <w:sz w:val="24"/>
                <w:szCs w:val="24"/>
              </w:rPr>
              <w:t>.0</w:t>
            </w:r>
            <w:r>
              <w:rPr>
                <w:rFonts w:hint="eastAsia" w:eastAsia="宋体"/>
                <w:sz w:val="24"/>
                <w:szCs w:val="24"/>
              </w:rPr>
              <w:t>t/a</w:t>
            </w:r>
          </w:p>
        </w:tc>
        <w:tc>
          <w:tcPr>
            <w:tcW w:w="2668" w:type="dxa"/>
            <w:gridSpan w:val="2"/>
            <w:vMerge w:val="continue"/>
            <w:vAlign w:val="center"/>
          </w:tcPr>
          <w:p>
            <w:pPr>
              <w:pStyle w:val="19"/>
              <w:snapToGrid w:val="0"/>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567" w:type="dxa"/>
            <w:vMerge w:val="continue"/>
            <w:vAlign w:val="center"/>
          </w:tcPr>
          <w:p>
            <w:pPr>
              <w:pStyle w:val="19"/>
              <w:snapToGrid w:val="0"/>
              <w:rPr>
                <w:rFonts w:eastAsia="宋体"/>
                <w:sz w:val="24"/>
                <w:szCs w:val="24"/>
              </w:rPr>
            </w:pPr>
          </w:p>
        </w:tc>
        <w:tc>
          <w:tcPr>
            <w:tcW w:w="568" w:type="dxa"/>
            <w:vMerge w:val="continue"/>
            <w:vAlign w:val="center"/>
          </w:tcPr>
          <w:p>
            <w:pPr>
              <w:pStyle w:val="19"/>
              <w:snapToGrid w:val="0"/>
              <w:rPr>
                <w:rFonts w:eastAsia="宋体"/>
                <w:sz w:val="24"/>
                <w:szCs w:val="24"/>
              </w:rPr>
            </w:pPr>
          </w:p>
        </w:tc>
        <w:tc>
          <w:tcPr>
            <w:tcW w:w="2812" w:type="dxa"/>
            <w:gridSpan w:val="2"/>
            <w:vAlign w:val="center"/>
          </w:tcPr>
          <w:p>
            <w:pPr>
              <w:pStyle w:val="19"/>
              <w:snapToGrid w:val="0"/>
              <w:rPr>
                <w:rFonts w:eastAsia="宋体"/>
                <w:sz w:val="24"/>
                <w:szCs w:val="24"/>
              </w:rPr>
            </w:pPr>
            <w:r>
              <w:rPr>
                <w:rFonts w:hint="eastAsia" w:eastAsia="宋体"/>
                <w:sz w:val="24"/>
                <w:szCs w:val="24"/>
              </w:rPr>
              <w:t>废活性炭</w:t>
            </w:r>
          </w:p>
        </w:tc>
        <w:tc>
          <w:tcPr>
            <w:tcW w:w="2126" w:type="dxa"/>
            <w:vAlign w:val="center"/>
          </w:tcPr>
          <w:p>
            <w:pPr>
              <w:pStyle w:val="19"/>
              <w:snapToGrid w:val="0"/>
              <w:rPr>
                <w:rFonts w:eastAsia="宋体"/>
                <w:sz w:val="24"/>
                <w:szCs w:val="24"/>
              </w:rPr>
            </w:pPr>
            <w:r>
              <w:rPr>
                <w:rFonts w:eastAsia="宋体"/>
                <w:sz w:val="24"/>
                <w:szCs w:val="24"/>
              </w:rPr>
              <w:t>0.</w:t>
            </w:r>
            <w:r>
              <w:rPr>
                <w:rFonts w:hint="eastAsia" w:eastAsia="宋体"/>
                <w:sz w:val="24"/>
                <w:szCs w:val="24"/>
              </w:rPr>
              <w:t>1t/a</w:t>
            </w:r>
          </w:p>
        </w:tc>
        <w:tc>
          <w:tcPr>
            <w:tcW w:w="2668" w:type="dxa"/>
            <w:gridSpan w:val="2"/>
            <w:vMerge w:val="continue"/>
            <w:vAlign w:val="center"/>
          </w:tcPr>
          <w:p>
            <w:pPr>
              <w:pStyle w:val="19"/>
              <w:snapToGrid w:val="0"/>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135" w:type="dxa"/>
            <w:gridSpan w:val="2"/>
            <w:vAlign w:val="center"/>
          </w:tcPr>
          <w:p>
            <w:pPr>
              <w:snapToGrid w:val="0"/>
              <w:jc w:val="center"/>
              <w:rPr>
                <w:rFonts w:eastAsia="宋体"/>
                <w:sz w:val="24"/>
                <w:szCs w:val="24"/>
              </w:rPr>
            </w:pPr>
            <w:r>
              <w:rPr>
                <w:rFonts w:eastAsia="宋体"/>
                <w:sz w:val="24"/>
                <w:szCs w:val="24"/>
              </w:rPr>
              <w:t>噪</w:t>
            </w:r>
          </w:p>
          <w:p>
            <w:pPr>
              <w:snapToGrid w:val="0"/>
              <w:jc w:val="center"/>
              <w:rPr>
                <w:rFonts w:eastAsia="宋体"/>
                <w:sz w:val="24"/>
                <w:szCs w:val="24"/>
              </w:rPr>
            </w:pPr>
            <w:r>
              <w:rPr>
                <w:rFonts w:eastAsia="宋体"/>
                <w:sz w:val="24"/>
                <w:szCs w:val="24"/>
              </w:rPr>
              <w:t>声</w:t>
            </w:r>
          </w:p>
        </w:tc>
        <w:tc>
          <w:tcPr>
            <w:tcW w:w="1405" w:type="dxa"/>
            <w:vAlign w:val="center"/>
          </w:tcPr>
          <w:p>
            <w:pPr>
              <w:pStyle w:val="36"/>
              <w:spacing w:line="240" w:lineRule="auto"/>
              <w:ind w:firstLine="0" w:firstLineChars="0"/>
              <w:jc w:val="center"/>
            </w:pPr>
            <w:r>
              <w:t>设备</w:t>
            </w:r>
          </w:p>
          <w:p>
            <w:pPr>
              <w:pStyle w:val="36"/>
              <w:spacing w:line="240" w:lineRule="auto"/>
              <w:ind w:firstLine="0" w:firstLineChars="0"/>
              <w:jc w:val="center"/>
            </w:pPr>
            <w:r>
              <w:t>运行噪声</w:t>
            </w:r>
          </w:p>
        </w:tc>
        <w:tc>
          <w:tcPr>
            <w:tcW w:w="1407" w:type="dxa"/>
            <w:vAlign w:val="center"/>
          </w:tcPr>
          <w:p>
            <w:pPr>
              <w:pStyle w:val="36"/>
              <w:spacing w:line="240" w:lineRule="auto"/>
              <w:ind w:firstLine="0" w:firstLineChars="0"/>
              <w:jc w:val="center"/>
            </w:pPr>
            <w:r>
              <w:rPr>
                <w:rFonts w:hint="eastAsia"/>
              </w:rPr>
              <w:t>Leq</w:t>
            </w:r>
          </w:p>
        </w:tc>
        <w:tc>
          <w:tcPr>
            <w:tcW w:w="2126" w:type="dxa"/>
            <w:vAlign w:val="center"/>
          </w:tcPr>
          <w:p>
            <w:pPr>
              <w:jc w:val="center"/>
              <w:rPr>
                <w:rFonts w:eastAsia="宋体"/>
                <w:sz w:val="24"/>
                <w:szCs w:val="24"/>
              </w:rPr>
            </w:pPr>
            <w:r>
              <w:rPr>
                <w:rFonts w:hint="eastAsia" w:eastAsia="宋体"/>
                <w:sz w:val="24"/>
                <w:szCs w:val="24"/>
              </w:rPr>
              <w:t>85</w:t>
            </w:r>
            <w:r>
              <w:rPr>
                <w:rFonts w:eastAsia="宋体"/>
                <w:sz w:val="24"/>
                <w:szCs w:val="24"/>
              </w:rPr>
              <w:t>～</w:t>
            </w:r>
            <w:r>
              <w:rPr>
                <w:rFonts w:hint="eastAsia" w:eastAsia="宋体"/>
                <w:sz w:val="24"/>
                <w:szCs w:val="24"/>
              </w:rPr>
              <w:t>85</w:t>
            </w:r>
            <w:r>
              <w:rPr>
                <w:rFonts w:eastAsia="宋体"/>
                <w:sz w:val="24"/>
                <w:szCs w:val="24"/>
              </w:rPr>
              <w:t>dB(A)</w:t>
            </w:r>
          </w:p>
        </w:tc>
        <w:tc>
          <w:tcPr>
            <w:tcW w:w="2668" w:type="dxa"/>
            <w:gridSpan w:val="2"/>
            <w:vAlign w:val="center"/>
          </w:tcPr>
          <w:p>
            <w:pPr>
              <w:pStyle w:val="36"/>
              <w:spacing w:line="240" w:lineRule="auto"/>
              <w:ind w:firstLine="0" w:firstLineChars="0"/>
              <w:jc w:val="center"/>
            </w:pPr>
            <w:r>
              <w:t>昼间≤</w:t>
            </w:r>
            <w:r>
              <w:rPr>
                <w:rFonts w:hint="eastAsia"/>
              </w:rPr>
              <w:t>55</w:t>
            </w:r>
            <w:r>
              <w:t>dB(A)</w:t>
            </w:r>
          </w:p>
          <w:p>
            <w:pPr>
              <w:pStyle w:val="36"/>
              <w:spacing w:line="240" w:lineRule="auto"/>
              <w:ind w:firstLine="0" w:firstLineChars="0"/>
              <w:jc w:val="center"/>
              <w:rPr>
                <w:szCs w:val="24"/>
              </w:rPr>
            </w:pPr>
            <w:r>
              <w:t>夜间</w:t>
            </w:r>
            <w:r>
              <w:rPr>
                <w:rFonts w:hint="eastAsia"/>
              </w:rPr>
              <w:t>不生产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jc w:val="center"/>
        </w:trPr>
        <w:tc>
          <w:tcPr>
            <w:tcW w:w="1135" w:type="dxa"/>
            <w:gridSpan w:val="2"/>
            <w:vAlign w:val="center"/>
          </w:tcPr>
          <w:p>
            <w:pPr>
              <w:snapToGrid w:val="0"/>
              <w:jc w:val="center"/>
              <w:rPr>
                <w:rFonts w:eastAsia="宋体"/>
                <w:sz w:val="24"/>
                <w:szCs w:val="24"/>
              </w:rPr>
            </w:pPr>
            <w:r>
              <w:rPr>
                <w:rFonts w:eastAsia="宋体"/>
                <w:sz w:val="24"/>
                <w:szCs w:val="24"/>
              </w:rPr>
              <w:t>其</w:t>
            </w:r>
          </w:p>
          <w:p>
            <w:pPr>
              <w:snapToGrid w:val="0"/>
              <w:jc w:val="center"/>
              <w:rPr>
                <w:rFonts w:eastAsia="宋体"/>
                <w:sz w:val="24"/>
                <w:szCs w:val="24"/>
              </w:rPr>
            </w:pPr>
            <w:r>
              <w:rPr>
                <w:rFonts w:eastAsia="宋体"/>
                <w:sz w:val="24"/>
                <w:szCs w:val="24"/>
              </w:rPr>
              <w:t>他</w:t>
            </w:r>
          </w:p>
        </w:tc>
        <w:tc>
          <w:tcPr>
            <w:tcW w:w="7606" w:type="dxa"/>
            <w:gridSpan w:val="5"/>
            <w:vAlign w:val="center"/>
          </w:tcPr>
          <w:p>
            <w:pPr>
              <w:jc w:val="center"/>
              <w:rPr>
                <w:rFonts w:eastAsia="宋体"/>
                <w:sz w:val="24"/>
                <w:szCs w:val="24"/>
              </w:rPr>
            </w:pPr>
            <w:r>
              <w:rPr>
                <w:rFonts w:eastAsia="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7" w:hRule="exact"/>
          <w:jc w:val="center"/>
        </w:trPr>
        <w:tc>
          <w:tcPr>
            <w:tcW w:w="8741" w:type="dxa"/>
            <w:gridSpan w:val="7"/>
            <w:vAlign w:val="center"/>
          </w:tcPr>
          <w:p>
            <w:pPr>
              <w:rPr>
                <w:rFonts w:ascii="宋体" w:hAnsi="宋体" w:eastAsia="宋体" w:cs="宋体"/>
                <w:b/>
                <w:bCs/>
                <w:sz w:val="24"/>
                <w:szCs w:val="24"/>
              </w:rPr>
            </w:pPr>
            <w:r>
              <w:rPr>
                <w:rFonts w:hint="eastAsia" w:ascii="宋体" w:hAnsi="宋体" w:eastAsia="宋体" w:cs="宋体"/>
                <w:b/>
                <w:bCs/>
                <w:sz w:val="24"/>
                <w:szCs w:val="24"/>
              </w:rPr>
              <w:t>主要生态影响（不够时可另附页）</w:t>
            </w:r>
          </w:p>
          <w:p>
            <w:pPr>
              <w:pStyle w:val="2"/>
              <w:jc w:val="center"/>
              <w:rPr>
                <w:rFonts w:ascii="宋体" w:hAnsi="宋体" w:eastAsia="宋体" w:cs="宋体"/>
                <w:sz w:val="24"/>
                <w:szCs w:val="24"/>
              </w:rPr>
            </w:pPr>
            <w:r>
              <w:rPr>
                <w:rFonts w:hint="eastAsia" w:ascii="宋体" w:hAnsi="宋体" w:eastAsia="宋体" w:cs="宋体"/>
                <w:sz w:val="24"/>
                <w:szCs w:val="24"/>
              </w:rPr>
              <w:t>无</w:t>
            </w:r>
          </w:p>
          <w:p>
            <w:pPr>
              <w:pStyle w:val="2"/>
            </w:pPr>
          </w:p>
        </w:tc>
      </w:tr>
    </w:tbl>
    <w:p>
      <w:pPr>
        <w:pStyle w:val="36"/>
        <w:spacing w:line="360" w:lineRule="auto"/>
        <w:ind w:firstLine="0" w:firstLineChars="0"/>
        <w:rPr>
          <w:rFonts w:ascii="宋体" w:hAnsi="宋体"/>
          <w:b/>
          <w:color w:val="FF0000"/>
          <w:szCs w:val="24"/>
        </w:rPr>
        <w:sectPr>
          <w:pgSz w:w="11906" w:h="16838"/>
          <w:pgMar w:top="1701" w:right="1701" w:bottom="1843" w:left="1701" w:header="851" w:footer="992" w:gutter="0"/>
          <w:cols w:space="720" w:num="1"/>
          <w:docGrid w:type="lines" w:linePitch="480" w:charSpace="0"/>
        </w:sectPr>
      </w:pPr>
    </w:p>
    <w:tbl>
      <w:tblPr>
        <w:tblStyle w:val="2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1" w:hRule="atLeast"/>
        </w:trPr>
        <w:tc>
          <w:tcPr>
            <w:tcW w:w="8720" w:type="dxa"/>
          </w:tcPr>
          <w:p>
            <w:pPr>
              <w:pStyle w:val="36"/>
              <w:spacing w:line="360" w:lineRule="auto"/>
              <w:ind w:firstLine="0" w:firstLineChars="0"/>
              <w:rPr>
                <w:rFonts w:ascii="宋体" w:hAnsi="宋体"/>
                <w:b/>
                <w:szCs w:val="24"/>
              </w:rPr>
            </w:pPr>
            <w:r>
              <w:rPr>
                <w:rFonts w:ascii="宋体" w:hAnsi="宋体"/>
                <w:b/>
                <w:szCs w:val="24"/>
              </w:rPr>
              <w:t>环境影响分析及污染防治措施</w:t>
            </w:r>
          </w:p>
          <w:p>
            <w:pPr>
              <w:pStyle w:val="36"/>
              <w:spacing w:line="360" w:lineRule="auto"/>
              <w:ind w:firstLine="0" w:firstLineChars="0"/>
              <w:rPr>
                <w:rFonts w:ascii="宋体" w:hAnsi="宋体"/>
                <w:b/>
                <w:szCs w:val="24"/>
              </w:rPr>
            </w:pPr>
            <w:r>
              <w:rPr>
                <w:rFonts w:hint="eastAsia" w:ascii="宋体" w:hAnsi="宋体"/>
                <w:b/>
                <w:szCs w:val="24"/>
              </w:rPr>
              <w:t>施工期</w:t>
            </w:r>
          </w:p>
          <w:p>
            <w:pPr>
              <w:pStyle w:val="36"/>
              <w:spacing w:line="360" w:lineRule="auto"/>
              <w:ind w:firstLine="480"/>
              <w:rPr>
                <w:rFonts w:ascii="宋体" w:hAnsi="宋体"/>
                <w:bCs/>
                <w:color w:val="FF0000"/>
                <w:szCs w:val="24"/>
              </w:rPr>
            </w:pPr>
            <w:r>
              <w:rPr>
                <w:rFonts w:hint="eastAsia" w:ascii="宋体" w:hAnsi="宋体"/>
                <w:bCs/>
              </w:rPr>
              <w:t>本项目租用现有厂区的厂房进行建设，无土建工程，仅为设备的安装和调试，对周围环境影响较小。</w:t>
            </w:r>
          </w:p>
          <w:p>
            <w:pPr>
              <w:pStyle w:val="36"/>
              <w:spacing w:line="360" w:lineRule="auto"/>
              <w:ind w:firstLine="0" w:firstLineChars="0"/>
              <w:rPr>
                <w:rFonts w:ascii="宋体" w:hAnsi="宋体"/>
                <w:b/>
                <w:szCs w:val="24"/>
              </w:rPr>
            </w:pPr>
            <w:r>
              <w:rPr>
                <w:rFonts w:hint="eastAsia" w:ascii="宋体" w:hAnsi="宋体"/>
                <w:b/>
                <w:szCs w:val="24"/>
              </w:rPr>
              <w:t>营运期</w:t>
            </w:r>
          </w:p>
          <w:p>
            <w:pPr>
              <w:pStyle w:val="36"/>
              <w:numPr>
                <w:ilvl w:val="0"/>
                <w:numId w:val="3"/>
              </w:numPr>
              <w:spacing w:line="360" w:lineRule="auto"/>
              <w:ind w:firstLineChars="0"/>
              <w:rPr>
                <w:rFonts w:ascii="宋体" w:hAnsi="宋体"/>
                <w:b/>
              </w:rPr>
            </w:pPr>
            <w:r>
              <w:rPr>
                <w:rFonts w:ascii="宋体" w:hAnsi="宋体"/>
                <w:b/>
              </w:rPr>
              <w:t>废气</w:t>
            </w:r>
          </w:p>
          <w:p>
            <w:pPr>
              <w:pStyle w:val="36"/>
              <w:spacing w:line="360" w:lineRule="auto"/>
              <w:ind w:firstLine="480"/>
              <w:rPr>
                <w:szCs w:val="24"/>
              </w:rPr>
            </w:pPr>
            <w:r>
              <w:rPr>
                <w:rFonts w:hint="eastAsia"/>
                <w:szCs w:val="24"/>
              </w:rPr>
              <w:t>（1）大气污染物排放情况</w:t>
            </w:r>
          </w:p>
          <w:p>
            <w:pPr>
              <w:pStyle w:val="36"/>
              <w:spacing w:line="360" w:lineRule="auto"/>
              <w:ind w:firstLine="480"/>
              <w:rPr>
                <w:szCs w:val="24"/>
              </w:rPr>
            </w:pPr>
            <w:r>
              <w:rPr>
                <w:rFonts w:hint="eastAsia"/>
                <w:szCs w:val="24"/>
              </w:rPr>
              <w:t>本项目运营过程中产生的颗粒物和非甲烷总烃经负压收集、布袋除尘器处理后通过15m烟囱排放，其中颗粒物的排放量为0.00143</w:t>
            </w:r>
            <w:r>
              <w:rPr>
                <w:szCs w:val="24"/>
              </w:rPr>
              <w:t>t</w:t>
            </w:r>
            <w:r>
              <w:rPr>
                <w:rFonts w:hint="eastAsia"/>
                <w:szCs w:val="24"/>
              </w:rPr>
              <w:t>/a，排放浓度为0.</w:t>
            </w:r>
            <w:r>
              <w:rPr>
                <w:szCs w:val="24"/>
              </w:rPr>
              <w:t>04</w:t>
            </w:r>
            <w:r>
              <w:rPr>
                <w:rFonts w:hint="eastAsia"/>
                <w:szCs w:val="24"/>
              </w:rPr>
              <w:t>mg/m</w:t>
            </w:r>
            <w:r>
              <w:rPr>
                <w:rFonts w:hint="eastAsia"/>
                <w:szCs w:val="24"/>
                <w:vertAlign w:val="superscript"/>
              </w:rPr>
              <w:t>3</w:t>
            </w:r>
            <w:r>
              <w:rPr>
                <w:rFonts w:hint="eastAsia"/>
                <w:szCs w:val="24"/>
              </w:rPr>
              <w:t>，排放速率为0.</w:t>
            </w:r>
            <w:r>
              <w:rPr>
                <w:szCs w:val="24"/>
              </w:rPr>
              <w:t>0012</w:t>
            </w:r>
            <w:r>
              <w:rPr>
                <w:rFonts w:hint="eastAsia"/>
                <w:szCs w:val="24"/>
              </w:rPr>
              <w:t>g/h，</w:t>
            </w:r>
            <w:r>
              <w:rPr>
                <w:rFonts w:hint="eastAsia"/>
                <w:spacing w:val="-4"/>
                <w:szCs w:val="24"/>
              </w:rPr>
              <w:t>满足《大气污染物综合排放标准》（</w:t>
            </w:r>
            <w:r>
              <w:rPr>
                <w:spacing w:val="-4"/>
                <w:szCs w:val="24"/>
              </w:rPr>
              <w:t>GB16297-1996</w:t>
            </w:r>
            <w:r>
              <w:rPr>
                <w:rFonts w:hint="eastAsia"/>
                <w:spacing w:val="-4"/>
                <w:szCs w:val="24"/>
              </w:rPr>
              <w:t>）中新建污染源的二级标准；生产车间为全封闭，无无组织排放的污染物。</w:t>
            </w:r>
            <w:r>
              <w:rPr>
                <w:rFonts w:hint="eastAsia"/>
                <w:szCs w:val="24"/>
              </w:rPr>
              <w:t>非甲烷总烃的经活性炭吸附，排放量为</w:t>
            </w:r>
            <w:r>
              <w:rPr>
                <w:szCs w:val="24"/>
              </w:rPr>
              <w:t>0.001t</w:t>
            </w:r>
            <w:r>
              <w:rPr>
                <w:rFonts w:hint="eastAsia"/>
                <w:szCs w:val="24"/>
              </w:rPr>
              <w:t>/a，排放浓度为</w:t>
            </w:r>
            <w:r>
              <w:rPr>
                <w:szCs w:val="24"/>
              </w:rPr>
              <w:t>0.029</w:t>
            </w:r>
            <w:r>
              <w:rPr>
                <w:rFonts w:hint="eastAsia"/>
                <w:szCs w:val="24"/>
              </w:rPr>
              <w:t>mg/m</w:t>
            </w:r>
            <w:r>
              <w:rPr>
                <w:rFonts w:hint="eastAsia"/>
                <w:szCs w:val="24"/>
                <w:vertAlign w:val="superscript"/>
              </w:rPr>
              <w:t>3</w:t>
            </w:r>
            <w:r>
              <w:rPr>
                <w:rFonts w:hint="eastAsia"/>
                <w:szCs w:val="24"/>
              </w:rPr>
              <w:t>，经1</w:t>
            </w:r>
            <w:r>
              <w:rPr>
                <w:szCs w:val="24"/>
              </w:rPr>
              <w:t>5m</w:t>
            </w:r>
            <w:r>
              <w:rPr>
                <w:rFonts w:hint="eastAsia"/>
                <w:szCs w:val="24"/>
              </w:rPr>
              <w:t>高排气筒有组织排放，</w:t>
            </w:r>
            <w:r>
              <w:rPr>
                <w:rFonts w:hint="eastAsia"/>
                <w:spacing w:val="-4"/>
                <w:szCs w:val="24"/>
              </w:rPr>
              <w:t>满足《大气污染物综合排放标准》（</w:t>
            </w:r>
            <w:r>
              <w:rPr>
                <w:spacing w:val="-4"/>
                <w:szCs w:val="24"/>
              </w:rPr>
              <w:t>GB16297-1996</w:t>
            </w:r>
            <w:r>
              <w:rPr>
                <w:rFonts w:hint="eastAsia"/>
                <w:spacing w:val="-4"/>
                <w:szCs w:val="24"/>
              </w:rPr>
              <w:t>）中新建污染源的二级标准</w:t>
            </w:r>
            <w:r>
              <w:rPr>
                <w:rFonts w:hint="eastAsia"/>
                <w:szCs w:val="24"/>
              </w:rPr>
              <w:t>。</w:t>
            </w:r>
          </w:p>
          <w:p>
            <w:pPr>
              <w:pStyle w:val="36"/>
              <w:spacing w:line="360" w:lineRule="auto"/>
              <w:ind w:firstLine="480"/>
              <w:rPr>
                <w:color w:val="FF0000"/>
                <w:szCs w:val="24"/>
              </w:rPr>
            </w:pPr>
            <w:r>
              <w:rPr>
                <w:rFonts w:hint="eastAsia"/>
                <w:szCs w:val="24"/>
              </w:rPr>
              <w:t>综上，本项目运营过程中产生的大气污染物均能够得到有效治理，对周围环境影响较小。</w:t>
            </w:r>
          </w:p>
          <w:p>
            <w:pPr>
              <w:snapToGrid w:val="0"/>
              <w:spacing w:line="360" w:lineRule="auto"/>
              <w:ind w:firstLine="480" w:firstLineChars="200"/>
              <w:rPr>
                <w:rFonts w:eastAsia="宋体"/>
                <w:sz w:val="24"/>
                <w:szCs w:val="24"/>
              </w:rPr>
            </w:pPr>
            <w:r>
              <w:rPr>
                <w:rFonts w:eastAsia="宋体"/>
                <w:sz w:val="24"/>
                <w:szCs w:val="24"/>
              </w:rPr>
              <w:t>（2）</w:t>
            </w:r>
            <w:r>
              <w:rPr>
                <w:rFonts w:hint="eastAsia" w:eastAsia="宋体"/>
                <w:sz w:val="24"/>
                <w:szCs w:val="24"/>
              </w:rPr>
              <w:t>大气污染物的预测分析与评价</w:t>
            </w:r>
          </w:p>
          <w:p>
            <w:pPr>
              <w:pStyle w:val="2"/>
              <w:spacing w:line="360" w:lineRule="auto"/>
              <w:ind w:firstLine="480" w:firstLineChars="200"/>
              <w:rPr>
                <w:rFonts w:eastAsia="宋体"/>
                <w:sz w:val="24"/>
                <w:szCs w:val="24"/>
              </w:rPr>
            </w:pPr>
            <w:r>
              <w:rPr>
                <w:rFonts w:hint="eastAsia" w:eastAsia="宋体"/>
                <w:sz w:val="24"/>
                <w:szCs w:val="24"/>
              </w:rPr>
              <w:t>根据《环境影响评价技术导则 大气环境》（HJ2.2-2018）要求，选择附录A中推荐模式中估算模型进行计算污染源的最大环境影响，再按评价工作分级进行分级。采用AERSCREEN估算模式进行计算。建设项目污染物具体源强参数及建设项目排放预测结果见下表：</w:t>
            </w:r>
          </w:p>
          <w:p>
            <w:pPr>
              <w:pStyle w:val="2"/>
              <w:spacing w:line="360" w:lineRule="auto"/>
              <w:ind w:firstLine="480" w:firstLineChars="200"/>
              <w:jc w:val="center"/>
              <w:rPr>
                <w:rFonts w:eastAsia="宋体"/>
                <w:sz w:val="24"/>
                <w:szCs w:val="24"/>
              </w:rPr>
            </w:pPr>
            <w:r>
              <w:rPr>
                <w:rFonts w:hint="eastAsia" w:eastAsia="宋体"/>
                <w:sz w:val="24"/>
                <w:szCs w:val="24"/>
              </w:rPr>
              <w:t>表7-1</w:t>
            </w:r>
            <w:r>
              <w:rPr>
                <w:rFonts w:eastAsia="宋体"/>
                <w:sz w:val="24"/>
                <w:szCs w:val="24"/>
              </w:rPr>
              <w:t xml:space="preserve">       </w:t>
            </w:r>
            <w:r>
              <w:rPr>
                <w:rFonts w:hint="eastAsia" w:eastAsia="宋体"/>
                <w:sz w:val="24"/>
                <w:szCs w:val="24"/>
              </w:rPr>
              <w:t>估算模式参数一览表</w:t>
            </w:r>
          </w:p>
          <w:tbl>
            <w:tblPr>
              <w:tblStyle w:val="25"/>
              <w:tblW w:w="849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2644"/>
              <w:gridCol w:w="38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4" w:type="dxa"/>
                  <w:gridSpan w:val="2"/>
                  <w:tcBorders>
                    <w:top w:val="double" w:color="auto" w:sz="4" w:space="0"/>
                    <w:tl2br w:val="nil"/>
                    <w:tr2bl w:val="nil"/>
                  </w:tcBorders>
                  <w:vAlign w:val="center"/>
                </w:tcPr>
                <w:p>
                  <w:pPr>
                    <w:pStyle w:val="105"/>
                    <w:ind w:firstLine="480"/>
                    <w:rPr>
                      <w:rFonts w:ascii="宋体" w:hAnsi="宋体" w:cs="宋体"/>
                    </w:rPr>
                  </w:pPr>
                  <w:r>
                    <w:rPr>
                      <w:rFonts w:hint="eastAsia" w:ascii="宋体" w:hAnsi="宋体" w:cs="宋体"/>
                    </w:rPr>
                    <w:t>参数</w:t>
                  </w:r>
                </w:p>
              </w:tc>
              <w:tc>
                <w:tcPr>
                  <w:tcW w:w="3850" w:type="dxa"/>
                  <w:tcBorders>
                    <w:top w:val="double" w:color="auto" w:sz="4" w:space="0"/>
                    <w:tl2br w:val="nil"/>
                    <w:tr2bl w:val="nil"/>
                  </w:tcBorders>
                  <w:vAlign w:val="center"/>
                </w:tcPr>
                <w:p>
                  <w:pPr>
                    <w:pStyle w:val="105"/>
                    <w:ind w:firstLine="480"/>
                    <w:rPr>
                      <w:rFonts w:ascii="宋体" w:hAnsi="宋体" w:cs="宋体"/>
                    </w:rPr>
                  </w:pPr>
                  <w:r>
                    <w:rPr>
                      <w:rFonts w:hint="eastAsia" w:ascii="宋体" w:hAnsi="宋体" w:cs="宋体"/>
                    </w:rPr>
                    <w:t>取值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00" w:type="dxa"/>
                  <w:vMerge w:val="restart"/>
                  <w:tcBorders>
                    <w:tl2br w:val="nil"/>
                    <w:tr2bl w:val="nil"/>
                  </w:tcBorders>
                  <w:vAlign w:val="center"/>
                </w:tcPr>
                <w:p>
                  <w:pPr>
                    <w:pStyle w:val="105"/>
                    <w:rPr>
                      <w:rFonts w:ascii="宋体" w:hAnsi="宋体" w:cs="宋体"/>
                    </w:rPr>
                  </w:pPr>
                  <w:r>
                    <w:rPr>
                      <w:rFonts w:hint="eastAsia" w:ascii="宋体" w:hAnsi="宋体" w:cs="宋体"/>
                    </w:rPr>
                    <w:t>城市/农村选项</w:t>
                  </w:r>
                </w:p>
              </w:tc>
              <w:tc>
                <w:tcPr>
                  <w:tcW w:w="2644" w:type="dxa"/>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城市/农村</w:t>
                  </w:r>
                </w:p>
              </w:tc>
              <w:tc>
                <w:tcPr>
                  <w:tcW w:w="3850" w:type="dxa"/>
                  <w:tcBorders>
                    <w:tl2br w:val="nil"/>
                    <w:tr2bl w:val="nil"/>
                  </w:tcBorders>
                  <w:vAlign w:val="center"/>
                </w:tcPr>
                <w:p>
                  <w:pPr>
                    <w:pStyle w:val="105"/>
                    <w:ind w:firstLine="480"/>
                    <w:rPr>
                      <w:rFonts w:ascii="宋体" w:hAnsi="宋体" w:cs="宋体"/>
                    </w:rPr>
                  </w:pPr>
                  <w:r>
                    <w:rPr>
                      <w:rFonts w:hint="eastAsia" w:ascii="宋体" w:hAnsi="宋体" w:cs="宋体"/>
                    </w:rPr>
                    <w:t>农村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00" w:type="dxa"/>
                  <w:vMerge w:val="continue"/>
                  <w:tcBorders>
                    <w:tl2br w:val="nil"/>
                    <w:tr2bl w:val="nil"/>
                  </w:tcBorders>
                  <w:vAlign w:val="center"/>
                </w:tcPr>
                <w:p>
                  <w:pPr>
                    <w:pStyle w:val="105"/>
                    <w:ind w:firstLine="480"/>
                    <w:rPr>
                      <w:rFonts w:ascii="宋体" w:hAnsi="宋体" w:cs="宋体"/>
                    </w:rPr>
                  </w:pPr>
                </w:p>
              </w:tc>
              <w:tc>
                <w:tcPr>
                  <w:tcW w:w="2644" w:type="dxa"/>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人口数（城市选项时）</w:t>
                  </w:r>
                </w:p>
              </w:tc>
              <w:tc>
                <w:tcPr>
                  <w:tcW w:w="3850" w:type="dxa"/>
                  <w:tcBorders>
                    <w:tl2br w:val="nil"/>
                    <w:tr2bl w:val="nil"/>
                  </w:tcBorders>
                  <w:vAlign w:val="center"/>
                </w:tcPr>
                <w:p>
                  <w:pPr>
                    <w:pStyle w:val="105"/>
                    <w:ind w:firstLine="480"/>
                    <w:rPr>
                      <w:rFonts w:ascii="宋体" w:hAnsi="宋体" w:cs="宋体"/>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4" w:type="dxa"/>
                  <w:gridSpan w:val="2"/>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最高环境温度/℃</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t>年极端最高气温为41.8℃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4" w:type="dxa"/>
                  <w:gridSpan w:val="2"/>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最低环境温度/℃</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t>年极端最低气温为-31.3℃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4" w:type="dxa"/>
                  <w:gridSpan w:val="2"/>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土地利用类型</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t>0601工业用地（城市）建设用地农田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4" w:type="dxa"/>
                  <w:gridSpan w:val="2"/>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区域湿度条件</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t>半湿润区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00" w:type="dxa"/>
                  <w:vMerge w:val="restart"/>
                  <w:tcBorders>
                    <w:tl2br w:val="nil"/>
                    <w:tr2bl w:val="nil"/>
                  </w:tcBorders>
                  <w:vAlign w:val="center"/>
                </w:tcPr>
                <w:p>
                  <w:pPr>
                    <w:pStyle w:val="105"/>
                    <w:rPr>
                      <w:rFonts w:ascii="宋体" w:hAnsi="宋体" w:cs="宋体"/>
                    </w:rPr>
                  </w:pPr>
                  <w:r>
                    <w:rPr>
                      <w:rFonts w:hint="eastAsia" w:ascii="宋体" w:hAnsi="宋体" w:cs="宋体"/>
                    </w:rPr>
                    <w:t>是否考虑地形</w:t>
                  </w:r>
                </w:p>
              </w:tc>
              <w:tc>
                <w:tcPr>
                  <w:tcW w:w="2644" w:type="dxa"/>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考虑地形</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sym w:font="Wingdings 2" w:char="00A3"/>
                  </w:r>
                  <w:r>
                    <w:rPr>
                      <w:rFonts w:hint="eastAsia" w:ascii="宋体" w:hAnsi="宋体" w:cs="宋体"/>
                    </w:rPr>
                    <w:t xml:space="preserve">是  </w:t>
                  </w:r>
                  <w:r>
                    <w:rPr>
                      <w:rFonts w:hint="eastAsia" w:ascii="宋体" w:hAnsi="宋体" w:cs="宋体"/>
                    </w:rPr>
                    <w:sym w:font="Wingdings 2" w:char="0052"/>
                  </w:r>
                  <w:r>
                    <w:rPr>
                      <w:rFonts w:hint="eastAsia" w:ascii="宋体" w:hAnsi="宋体" w:cs="宋体"/>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00" w:type="dxa"/>
                  <w:vMerge w:val="continue"/>
                  <w:tcBorders>
                    <w:tl2br w:val="nil"/>
                    <w:tr2bl w:val="nil"/>
                  </w:tcBorders>
                  <w:vAlign w:val="center"/>
                </w:tcPr>
                <w:p>
                  <w:pPr>
                    <w:pStyle w:val="105"/>
                    <w:rPr>
                      <w:rFonts w:ascii="宋体" w:hAnsi="宋体" w:cs="宋体"/>
                    </w:rPr>
                  </w:pPr>
                </w:p>
              </w:tc>
              <w:tc>
                <w:tcPr>
                  <w:tcW w:w="2644" w:type="dxa"/>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地形数据分辨率/m</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00" w:type="dxa"/>
                  <w:vMerge w:val="restart"/>
                  <w:tcBorders>
                    <w:tl2br w:val="nil"/>
                    <w:tr2bl w:val="nil"/>
                  </w:tcBorders>
                  <w:vAlign w:val="center"/>
                </w:tcPr>
                <w:p>
                  <w:pPr>
                    <w:pStyle w:val="105"/>
                    <w:rPr>
                      <w:rFonts w:ascii="宋体" w:hAnsi="宋体" w:cs="宋体"/>
                    </w:rPr>
                  </w:pPr>
                  <w:r>
                    <w:rPr>
                      <w:rFonts w:hint="eastAsia" w:ascii="宋体" w:hAnsi="宋体" w:cs="宋体"/>
                    </w:rPr>
                    <w:t>是否考虑岸线熏烟</w:t>
                  </w:r>
                </w:p>
              </w:tc>
              <w:tc>
                <w:tcPr>
                  <w:tcW w:w="2644" w:type="dxa"/>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考虑岸线熏烟</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sym w:font="Wingdings 2" w:char="00A3"/>
                  </w:r>
                  <w:r>
                    <w:rPr>
                      <w:rFonts w:hint="eastAsia" w:ascii="宋体" w:hAnsi="宋体" w:cs="宋体"/>
                    </w:rPr>
                    <w:t xml:space="preserve">是  </w:t>
                  </w:r>
                  <w:r>
                    <w:rPr>
                      <w:rFonts w:hint="eastAsia" w:ascii="宋体" w:hAnsi="宋体" w:cs="宋体"/>
                    </w:rPr>
                    <w:sym w:font="Wingdings 2" w:char="0052"/>
                  </w:r>
                  <w:r>
                    <w:rPr>
                      <w:rFonts w:hint="eastAsia" w:ascii="宋体" w:hAnsi="宋体" w:cs="宋体"/>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00" w:type="dxa"/>
                  <w:vMerge w:val="continue"/>
                  <w:tcBorders>
                    <w:tl2br w:val="nil"/>
                    <w:tr2bl w:val="nil"/>
                  </w:tcBorders>
                  <w:vAlign w:val="center"/>
                </w:tcPr>
                <w:p>
                  <w:pPr>
                    <w:pStyle w:val="105"/>
                    <w:ind w:firstLine="480"/>
                    <w:rPr>
                      <w:rFonts w:ascii="宋体" w:hAnsi="宋体" w:cs="宋体"/>
                    </w:rPr>
                  </w:pPr>
                </w:p>
              </w:tc>
              <w:tc>
                <w:tcPr>
                  <w:tcW w:w="2644" w:type="dxa"/>
                  <w:tcBorders>
                    <w:tl2br w:val="nil"/>
                    <w:tr2bl w:val="nil"/>
                  </w:tcBorders>
                  <w:vAlign w:val="center"/>
                </w:tcPr>
                <w:p>
                  <w:pPr>
                    <w:pStyle w:val="105"/>
                    <w:ind w:left="-3" w:leftChars="-4" w:hanging="8" w:hangingChars="4"/>
                    <w:rPr>
                      <w:rFonts w:ascii="宋体" w:hAnsi="宋体" w:cs="宋体"/>
                    </w:rPr>
                  </w:pPr>
                  <w:r>
                    <w:rPr>
                      <w:rFonts w:hint="eastAsia" w:ascii="宋体" w:hAnsi="宋体" w:cs="宋体"/>
                    </w:rPr>
                    <w:t>岸线距离/km</w:t>
                  </w:r>
                </w:p>
              </w:tc>
              <w:tc>
                <w:tcPr>
                  <w:tcW w:w="3850" w:type="dxa"/>
                  <w:tcBorders>
                    <w:tl2br w:val="nil"/>
                    <w:tr2bl w:val="nil"/>
                  </w:tcBorders>
                  <w:vAlign w:val="center"/>
                </w:tcPr>
                <w:p>
                  <w:pPr>
                    <w:pStyle w:val="105"/>
                    <w:ind w:left="-3" w:leftChars="-1"/>
                    <w:rPr>
                      <w:rFonts w:ascii="宋体" w:hAnsi="宋体" w:cs="宋体"/>
                    </w:rPr>
                  </w:pPr>
                  <w:r>
                    <w:rPr>
                      <w:rFonts w:hint="eastAsia" w:ascii="宋体" w:hAnsi="宋体" w:cs="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000" w:type="dxa"/>
                  <w:vMerge w:val="continue"/>
                  <w:tcBorders>
                    <w:bottom w:val="double" w:color="auto" w:sz="4" w:space="0"/>
                    <w:tl2br w:val="nil"/>
                    <w:tr2bl w:val="nil"/>
                  </w:tcBorders>
                  <w:vAlign w:val="center"/>
                </w:tcPr>
                <w:p>
                  <w:pPr>
                    <w:pStyle w:val="105"/>
                    <w:ind w:firstLine="480"/>
                    <w:rPr>
                      <w:rFonts w:ascii="宋体" w:hAnsi="宋体" w:cs="宋体"/>
                    </w:rPr>
                  </w:pPr>
                </w:p>
              </w:tc>
              <w:tc>
                <w:tcPr>
                  <w:tcW w:w="2644" w:type="dxa"/>
                  <w:tcBorders>
                    <w:bottom w:val="double" w:color="auto" w:sz="4" w:space="0"/>
                    <w:tl2br w:val="nil"/>
                    <w:tr2bl w:val="nil"/>
                  </w:tcBorders>
                  <w:vAlign w:val="center"/>
                </w:tcPr>
                <w:p>
                  <w:pPr>
                    <w:pStyle w:val="105"/>
                    <w:ind w:left="-3" w:leftChars="-4" w:hanging="8" w:hangingChars="4"/>
                    <w:rPr>
                      <w:rFonts w:ascii="宋体" w:hAnsi="宋体" w:cs="宋体"/>
                    </w:rPr>
                  </w:pPr>
                  <w:r>
                    <w:rPr>
                      <w:rFonts w:hint="eastAsia" w:ascii="宋体" w:hAnsi="宋体" w:cs="宋体"/>
                    </w:rPr>
                    <w:t>岸线方向/°</w:t>
                  </w:r>
                </w:p>
              </w:tc>
              <w:tc>
                <w:tcPr>
                  <w:tcW w:w="3850" w:type="dxa"/>
                  <w:tcBorders>
                    <w:bottom w:val="double" w:color="auto" w:sz="4" w:space="0"/>
                    <w:tl2br w:val="nil"/>
                    <w:tr2bl w:val="nil"/>
                  </w:tcBorders>
                  <w:vAlign w:val="center"/>
                </w:tcPr>
                <w:p>
                  <w:pPr>
                    <w:pStyle w:val="105"/>
                    <w:ind w:left="-3" w:leftChars="-1"/>
                    <w:rPr>
                      <w:rFonts w:ascii="宋体" w:hAnsi="宋体" w:cs="宋体"/>
                    </w:rPr>
                  </w:pPr>
                  <w:r>
                    <w:rPr>
                      <w:rFonts w:hint="eastAsia" w:ascii="宋体" w:hAnsi="宋体" w:cs="宋体"/>
                    </w:rPr>
                    <w:t>——</w:t>
                  </w:r>
                </w:p>
              </w:tc>
            </w:tr>
          </w:tbl>
          <w:p>
            <w:pPr>
              <w:pStyle w:val="2"/>
            </w:pPr>
          </w:p>
          <w:p>
            <w:pPr>
              <w:pStyle w:val="2"/>
              <w:spacing w:line="360" w:lineRule="auto"/>
              <w:ind w:firstLine="480" w:firstLineChars="200"/>
              <w:jc w:val="center"/>
              <w:rPr>
                <w:rFonts w:eastAsia="宋体"/>
                <w:sz w:val="24"/>
                <w:szCs w:val="24"/>
              </w:rPr>
            </w:pPr>
            <w:r>
              <w:rPr>
                <w:rFonts w:hint="eastAsia" w:eastAsia="宋体"/>
                <w:sz w:val="24"/>
                <w:szCs w:val="24"/>
              </w:rPr>
              <w:t>表7-2</w:t>
            </w:r>
            <w:r>
              <w:rPr>
                <w:rFonts w:eastAsia="宋体"/>
                <w:sz w:val="24"/>
                <w:szCs w:val="24"/>
              </w:rPr>
              <w:t xml:space="preserve">     </w:t>
            </w:r>
            <w:r>
              <w:rPr>
                <w:rFonts w:hint="eastAsia" w:eastAsia="宋体"/>
                <w:sz w:val="24"/>
                <w:szCs w:val="24"/>
              </w:rPr>
              <w:t>点源参数选取</w:t>
            </w:r>
          </w:p>
          <w:tbl>
            <w:tblPr>
              <w:tblStyle w:val="25"/>
              <w:tblW w:w="8408" w:type="dxa"/>
              <w:tblInd w:w="0" w:type="dxa"/>
              <w:tblLayout w:type="fixed"/>
              <w:tblCellMar>
                <w:top w:w="0" w:type="dxa"/>
                <w:left w:w="28" w:type="dxa"/>
                <w:bottom w:w="0" w:type="dxa"/>
                <w:right w:w="28" w:type="dxa"/>
              </w:tblCellMar>
            </w:tblPr>
            <w:tblGrid>
              <w:gridCol w:w="930"/>
              <w:gridCol w:w="795"/>
              <w:gridCol w:w="696"/>
              <w:gridCol w:w="782"/>
              <w:gridCol w:w="802"/>
              <w:gridCol w:w="800"/>
              <w:gridCol w:w="662"/>
              <w:gridCol w:w="802"/>
              <w:gridCol w:w="1076"/>
              <w:gridCol w:w="1063"/>
            </w:tblGrid>
            <w:tr>
              <w:tblPrEx>
                <w:tblCellMar>
                  <w:top w:w="0" w:type="dxa"/>
                  <w:left w:w="28" w:type="dxa"/>
                  <w:bottom w:w="0" w:type="dxa"/>
                  <w:right w:w="28" w:type="dxa"/>
                </w:tblCellMar>
              </w:tblPrEx>
              <w:trPr>
                <w:trHeight w:val="246" w:hRule="atLeast"/>
              </w:trPr>
              <w:tc>
                <w:tcPr>
                  <w:tcW w:w="930" w:type="dxa"/>
                  <w:vMerge w:val="restart"/>
                  <w:tcBorders>
                    <w:top w:val="double" w:color="auto" w:sz="4" w:space="0"/>
                    <w:left w:val="double" w:color="FFFFFF" w:themeColor="background1" w:sz="4" w:space="0"/>
                    <w:bottom w:val="single" w:color="auto" w:sz="4" w:space="0"/>
                    <w:right w:val="single" w:color="auto" w:sz="4" w:space="0"/>
                  </w:tcBorders>
                  <w:vAlign w:val="center"/>
                </w:tcPr>
                <w:p>
                  <w:pPr>
                    <w:pStyle w:val="105"/>
                  </w:pPr>
                  <w:r>
                    <w:rPr>
                      <w:rFonts w:hint="eastAsia"/>
                    </w:rPr>
                    <w:t>污染源名称</w:t>
                  </w:r>
                </w:p>
              </w:tc>
              <w:tc>
                <w:tcPr>
                  <w:tcW w:w="1491" w:type="dxa"/>
                  <w:gridSpan w:val="2"/>
                  <w:tcBorders>
                    <w:top w:val="double" w:color="auto" w:sz="4" w:space="0"/>
                    <w:left w:val="single" w:color="auto" w:sz="4" w:space="0"/>
                    <w:bottom w:val="single" w:color="auto" w:sz="4" w:space="0"/>
                    <w:right w:val="single" w:color="auto" w:sz="4" w:space="0"/>
                  </w:tcBorders>
                  <w:vAlign w:val="center"/>
                </w:tcPr>
                <w:p>
                  <w:pPr>
                    <w:pStyle w:val="105"/>
                  </w:pPr>
                  <w:r>
                    <w:rPr>
                      <w:rFonts w:hint="eastAsia"/>
                    </w:rPr>
                    <w:t>坐标(o)</w:t>
                  </w:r>
                </w:p>
              </w:tc>
              <w:tc>
                <w:tcPr>
                  <w:tcW w:w="782" w:type="dxa"/>
                  <w:vMerge w:val="restart"/>
                  <w:tcBorders>
                    <w:top w:val="double" w:color="auto" w:sz="4" w:space="0"/>
                    <w:left w:val="single" w:color="auto" w:sz="4" w:space="0"/>
                    <w:bottom w:val="single" w:color="auto" w:sz="4" w:space="0"/>
                    <w:right w:val="single" w:color="auto" w:sz="4" w:space="0"/>
                  </w:tcBorders>
                  <w:vAlign w:val="center"/>
                </w:tcPr>
                <w:p>
                  <w:pPr>
                    <w:pStyle w:val="105"/>
                  </w:pPr>
                  <w:r>
                    <w:rPr>
                      <w:rFonts w:hint="eastAsia"/>
                    </w:rPr>
                    <w:t>底部海拔高度</w:t>
                  </w:r>
                </w:p>
                <w:p>
                  <w:pPr>
                    <w:pStyle w:val="105"/>
                  </w:pPr>
                  <w:r>
                    <w:rPr>
                      <w:rFonts w:hint="eastAsia"/>
                    </w:rPr>
                    <w:t>(m)</w:t>
                  </w:r>
                </w:p>
              </w:tc>
              <w:tc>
                <w:tcPr>
                  <w:tcW w:w="3066" w:type="dxa"/>
                  <w:gridSpan w:val="4"/>
                  <w:tcBorders>
                    <w:top w:val="double" w:color="auto" w:sz="4" w:space="0"/>
                    <w:left w:val="single" w:color="auto" w:sz="4" w:space="0"/>
                    <w:bottom w:val="single" w:color="auto" w:sz="4" w:space="0"/>
                    <w:right w:val="single" w:color="auto" w:sz="4" w:space="0"/>
                  </w:tcBorders>
                  <w:vAlign w:val="center"/>
                </w:tcPr>
                <w:p>
                  <w:pPr>
                    <w:pStyle w:val="105"/>
                  </w:pPr>
                  <w:r>
                    <w:rPr>
                      <w:rFonts w:hint="eastAsia"/>
                    </w:rPr>
                    <w:t>排气筒参数</w:t>
                  </w:r>
                </w:p>
              </w:tc>
              <w:tc>
                <w:tcPr>
                  <w:tcW w:w="1076" w:type="dxa"/>
                  <w:vMerge w:val="restart"/>
                  <w:tcBorders>
                    <w:top w:val="double" w:color="auto" w:sz="4" w:space="0"/>
                    <w:left w:val="single" w:color="auto" w:sz="4" w:space="0"/>
                    <w:bottom w:val="single" w:color="auto" w:sz="4" w:space="0"/>
                    <w:right w:val="single" w:color="auto" w:sz="4" w:space="0"/>
                  </w:tcBorders>
                  <w:vAlign w:val="center"/>
                </w:tcPr>
                <w:p>
                  <w:pPr>
                    <w:pStyle w:val="105"/>
                  </w:pPr>
                  <w:r>
                    <w:rPr>
                      <w:rFonts w:hint="eastAsia"/>
                    </w:rPr>
                    <w:t>污染物</w:t>
                  </w:r>
                </w:p>
              </w:tc>
              <w:tc>
                <w:tcPr>
                  <w:tcW w:w="1063" w:type="dxa"/>
                  <w:vMerge w:val="restart"/>
                  <w:tcBorders>
                    <w:top w:val="double" w:color="auto" w:sz="4" w:space="0"/>
                    <w:left w:val="single" w:color="auto" w:sz="4" w:space="0"/>
                    <w:bottom w:val="single" w:color="auto" w:sz="4" w:space="0"/>
                    <w:right w:val="double" w:color="FFFFFF" w:themeColor="background1" w:sz="4" w:space="0"/>
                  </w:tcBorders>
                  <w:vAlign w:val="center"/>
                </w:tcPr>
                <w:p>
                  <w:pPr>
                    <w:pStyle w:val="105"/>
                  </w:pPr>
                  <w:r>
                    <w:rPr>
                      <w:rFonts w:hint="eastAsia"/>
                    </w:rPr>
                    <w:t>排放速率 (kg/h)</w:t>
                  </w:r>
                </w:p>
              </w:tc>
            </w:tr>
            <w:tr>
              <w:tblPrEx>
                <w:tblCellMar>
                  <w:top w:w="0" w:type="dxa"/>
                  <w:left w:w="28" w:type="dxa"/>
                  <w:bottom w:w="0" w:type="dxa"/>
                  <w:right w:w="28" w:type="dxa"/>
                </w:tblCellMar>
              </w:tblPrEx>
              <w:trPr>
                <w:trHeight w:val="514" w:hRule="atLeast"/>
              </w:trPr>
              <w:tc>
                <w:tcPr>
                  <w:tcW w:w="930" w:type="dxa"/>
                  <w:vMerge w:val="continue"/>
                  <w:tcBorders>
                    <w:top w:val="single" w:color="auto" w:sz="4" w:space="0"/>
                    <w:left w:val="double" w:color="FFFFFF" w:themeColor="background1" w:sz="4" w:space="0"/>
                    <w:bottom w:val="single" w:color="auto" w:sz="4" w:space="0"/>
                    <w:right w:val="single" w:color="auto" w:sz="4" w:space="0"/>
                  </w:tcBorders>
                  <w:vAlign w:val="center"/>
                </w:tcPr>
                <w:p>
                  <w:pPr>
                    <w:pStyle w:val="105"/>
                  </w:pPr>
                </w:p>
              </w:tc>
              <w:tc>
                <w:tcPr>
                  <w:tcW w:w="795"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经度</w:t>
                  </w:r>
                </w:p>
              </w:tc>
              <w:tc>
                <w:tcPr>
                  <w:tcW w:w="695"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经度</w:t>
                  </w:r>
                </w:p>
              </w:tc>
              <w:tc>
                <w:tcPr>
                  <w:tcW w:w="782"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802"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高度</w:t>
                  </w:r>
                </w:p>
                <w:p>
                  <w:pPr>
                    <w:pStyle w:val="105"/>
                  </w:pPr>
                  <w:r>
                    <w:rPr>
                      <w:rFonts w:hint="eastAsia"/>
                    </w:rPr>
                    <w:t>(m)</w:t>
                  </w:r>
                </w:p>
              </w:tc>
              <w:tc>
                <w:tcPr>
                  <w:tcW w:w="800"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内径</w:t>
                  </w:r>
                </w:p>
                <w:p>
                  <w:pPr>
                    <w:pStyle w:val="105"/>
                  </w:pPr>
                  <w:r>
                    <w:rPr>
                      <w:rFonts w:hint="eastAsia"/>
                    </w:rPr>
                    <w:t>(m)</w:t>
                  </w:r>
                </w:p>
              </w:tc>
              <w:tc>
                <w:tcPr>
                  <w:tcW w:w="662"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温度</w:t>
                  </w:r>
                </w:p>
                <w:p>
                  <w:pPr>
                    <w:pStyle w:val="105"/>
                  </w:pPr>
                  <w:r>
                    <w:rPr>
                      <w:rFonts w:hint="eastAsia"/>
                    </w:rPr>
                    <w:t>(℃)</w:t>
                  </w:r>
                </w:p>
              </w:tc>
              <w:tc>
                <w:tcPr>
                  <w:tcW w:w="801"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流速</w:t>
                  </w:r>
                </w:p>
                <w:p>
                  <w:pPr>
                    <w:pStyle w:val="105"/>
                  </w:pPr>
                  <w:r>
                    <w:rPr>
                      <w:rFonts w:hint="eastAsia"/>
                    </w:rPr>
                    <w:t>(m/s)</w:t>
                  </w:r>
                </w:p>
              </w:tc>
              <w:tc>
                <w:tcPr>
                  <w:tcW w:w="1076"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1063" w:type="dxa"/>
                  <w:vMerge w:val="continue"/>
                  <w:tcBorders>
                    <w:top w:val="single" w:color="auto" w:sz="4" w:space="0"/>
                    <w:left w:val="single" w:color="auto" w:sz="4" w:space="0"/>
                    <w:bottom w:val="single" w:color="auto" w:sz="4" w:space="0"/>
                    <w:right w:val="double" w:color="FFFFFF" w:themeColor="background1" w:sz="4" w:space="0"/>
                  </w:tcBorders>
                  <w:vAlign w:val="center"/>
                </w:tcPr>
                <w:p>
                  <w:pPr>
                    <w:pStyle w:val="105"/>
                  </w:pPr>
                </w:p>
              </w:tc>
            </w:tr>
            <w:tr>
              <w:tblPrEx>
                <w:tblCellMar>
                  <w:top w:w="0" w:type="dxa"/>
                  <w:left w:w="28" w:type="dxa"/>
                  <w:bottom w:w="0" w:type="dxa"/>
                  <w:right w:w="28" w:type="dxa"/>
                </w:tblCellMar>
              </w:tblPrEx>
              <w:trPr>
                <w:trHeight w:val="241" w:hRule="atLeast"/>
              </w:trPr>
              <w:tc>
                <w:tcPr>
                  <w:tcW w:w="930" w:type="dxa"/>
                  <w:vMerge w:val="restart"/>
                  <w:tcBorders>
                    <w:top w:val="single" w:color="auto" w:sz="4" w:space="0"/>
                    <w:left w:val="double" w:color="FFFFFF" w:themeColor="background1" w:sz="4" w:space="0"/>
                    <w:bottom w:val="single" w:color="auto" w:sz="4" w:space="0"/>
                    <w:right w:val="single" w:color="auto" w:sz="4" w:space="0"/>
                  </w:tcBorders>
                  <w:vAlign w:val="center"/>
                </w:tcPr>
                <w:p>
                  <w:pPr>
                    <w:pStyle w:val="105"/>
                  </w:pPr>
                  <w:r>
                    <w:rPr>
                      <w:rFonts w:hint="eastAsia"/>
                    </w:rPr>
                    <w:t>P</w:t>
                  </w:r>
                  <w:r>
                    <w:t>1</w:t>
                  </w:r>
                  <w:r>
                    <w:rPr>
                      <w:rFonts w:hint="eastAsia"/>
                    </w:rPr>
                    <w:t>排气筒</w:t>
                  </w:r>
                </w:p>
              </w:tc>
              <w:tc>
                <w:tcPr>
                  <w:tcW w:w="795" w:type="dxa"/>
                  <w:vMerge w:val="restart"/>
                  <w:tcBorders>
                    <w:top w:val="single" w:color="auto" w:sz="4" w:space="0"/>
                    <w:left w:val="single" w:color="auto" w:sz="4" w:space="0"/>
                    <w:bottom w:val="single" w:color="auto" w:sz="4" w:space="0"/>
                    <w:right w:val="single" w:color="auto" w:sz="4" w:space="0"/>
                  </w:tcBorders>
                  <w:vAlign w:val="center"/>
                </w:tcPr>
                <w:p>
                  <w:pPr>
                    <w:pStyle w:val="105"/>
                  </w:pPr>
                  <w:r>
                    <w:t>121.112021</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pStyle w:val="105"/>
                  </w:pPr>
                  <w:r>
                    <w:t>41.034953</w:t>
                  </w:r>
                </w:p>
              </w:tc>
              <w:tc>
                <w:tcPr>
                  <w:tcW w:w="782" w:type="dxa"/>
                  <w:vMerge w:val="restart"/>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6.0</w:t>
                  </w:r>
                </w:p>
              </w:tc>
              <w:tc>
                <w:tcPr>
                  <w:tcW w:w="802" w:type="dxa"/>
                  <w:vMerge w:val="restart"/>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15.0</w:t>
                  </w:r>
                </w:p>
              </w:tc>
              <w:tc>
                <w:tcPr>
                  <w:tcW w:w="800" w:type="dxa"/>
                  <w:vMerge w:val="restart"/>
                  <w:tcBorders>
                    <w:top w:val="single" w:color="auto" w:sz="4" w:space="0"/>
                    <w:left w:val="single" w:color="auto" w:sz="4" w:space="0"/>
                    <w:bottom w:val="single" w:color="auto" w:sz="4" w:space="0"/>
                    <w:right w:val="single" w:color="auto" w:sz="4" w:space="0"/>
                  </w:tcBorders>
                  <w:vAlign w:val="center"/>
                </w:tcPr>
                <w:p>
                  <w:pPr>
                    <w:pStyle w:val="105"/>
                  </w:pPr>
                  <w:r>
                    <w:t>0.4</w:t>
                  </w:r>
                </w:p>
              </w:tc>
              <w:tc>
                <w:tcPr>
                  <w:tcW w:w="662" w:type="dxa"/>
                  <w:vMerge w:val="restart"/>
                  <w:tcBorders>
                    <w:top w:val="single" w:color="auto" w:sz="4" w:space="0"/>
                    <w:left w:val="single" w:color="auto" w:sz="4" w:space="0"/>
                    <w:bottom w:val="single" w:color="auto" w:sz="4" w:space="0"/>
                    <w:right w:val="single" w:color="auto" w:sz="4" w:space="0"/>
                  </w:tcBorders>
                  <w:vAlign w:val="center"/>
                </w:tcPr>
                <w:p>
                  <w:pPr>
                    <w:pStyle w:val="105"/>
                  </w:pPr>
                  <w:r>
                    <w:t>30</w:t>
                  </w:r>
                </w:p>
              </w:tc>
              <w:tc>
                <w:tcPr>
                  <w:tcW w:w="801" w:type="dxa"/>
                  <w:vMerge w:val="restart"/>
                  <w:tcBorders>
                    <w:top w:val="single" w:color="auto" w:sz="4" w:space="0"/>
                    <w:left w:val="single" w:color="auto" w:sz="4" w:space="0"/>
                    <w:bottom w:val="single" w:color="auto" w:sz="4" w:space="0"/>
                    <w:right w:val="single" w:color="auto" w:sz="4" w:space="0"/>
                  </w:tcBorders>
                  <w:vAlign w:val="center"/>
                </w:tcPr>
                <w:p>
                  <w:pPr>
                    <w:pStyle w:val="105"/>
                  </w:pPr>
                  <w:r>
                    <w:t>8.33</w:t>
                  </w:r>
                </w:p>
              </w:tc>
              <w:tc>
                <w:tcPr>
                  <w:tcW w:w="1076"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颗粒物</w:t>
                  </w:r>
                </w:p>
              </w:tc>
              <w:tc>
                <w:tcPr>
                  <w:tcW w:w="1063" w:type="dxa"/>
                  <w:tcBorders>
                    <w:top w:val="single" w:color="auto" w:sz="4" w:space="0"/>
                    <w:left w:val="single" w:color="auto" w:sz="4" w:space="0"/>
                    <w:bottom w:val="single" w:color="auto" w:sz="4" w:space="0"/>
                    <w:right w:val="double" w:color="FFFFFF" w:themeColor="background1" w:sz="4" w:space="0"/>
                  </w:tcBorders>
                  <w:vAlign w:val="center"/>
                </w:tcPr>
                <w:p>
                  <w:pPr>
                    <w:pStyle w:val="105"/>
                    <w:rPr>
                      <w:rFonts w:ascii="宋体" w:hAnsi="宋体" w:cs="宋体"/>
                    </w:rPr>
                  </w:pPr>
                  <w:r>
                    <w:rPr>
                      <w:rFonts w:hint="eastAsia" w:ascii="宋体" w:hAnsi="宋体" w:cs="宋体"/>
                    </w:rPr>
                    <w:t>0.0</w:t>
                  </w:r>
                  <w:r>
                    <w:rPr>
                      <w:rFonts w:ascii="宋体" w:hAnsi="宋体" w:cs="宋体"/>
                    </w:rPr>
                    <w:t>012</w:t>
                  </w:r>
                </w:p>
              </w:tc>
            </w:tr>
            <w:tr>
              <w:tblPrEx>
                <w:tblCellMar>
                  <w:top w:w="0" w:type="dxa"/>
                  <w:left w:w="28" w:type="dxa"/>
                  <w:bottom w:w="0" w:type="dxa"/>
                  <w:right w:w="28" w:type="dxa"/>
                </w:tblCellMar>
              </w:tblPrEx>
              <w:trPr>
                <w:trHeight w:val="215" w:hRule="atLeast"/>
              </w:trPr>
              <w:tc>
                <w:tcPr>
                  <w:tcW w:w="930" w:type="dxa"/>
                  <w:vMerge w:val="continue"/>
                  <w:tcBorders>
                    <w:top w:val="single" w:color="auto" w:sz="4" w:space="0"/>
                    <w:left w:val="double" w:color="FFFFFF" w:themeColor="background1" w:sz="4" w:space="0"/>
                    <w:bottom w:val="single" w:color="auto" w:sz="4" w:space="0"/>
                    <w:right w:val="single" w:color="auto" w:sz="4" w:space="0"/>
                  </w:tcBorders>
                  <w:vAlign w:val="center"/>
                </w:tcPr>
                <w:p>
                  <w:pPr>
                    <w:pStyle w:val="105"/>
                  </w:pPr>
                </w:p>
              </w:tc>
              <w:tc>
                <w:tcPr>
                  <w:tcW w:w="795"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782"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802"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662"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801" w:type="dxa"/>
                  <w:vMerge w:val="continue"/>
                  <w:tcBorders>
                    <w:top w:val="single" w:color="auto" w:sz="4" w:space="0"/>
                    <w:left w:val="single" w:color="auto" w:sz="4" w:space="0"/>
                    <w:bottom w:val="single" w:color="auto" w:sz="4" w:space="0"/>
                    <w:right w:val="single" w:color="auto" w:sz="4" w:space="0"/>
                  </w:tcBorders>
                  <w:vAlign w:val="center"/>
                </w:tcPr>
                <w:p>
                  <w:pPr>
                    <w:pStyle w:val="105"/>
                  </w:pPr>
                </w:p>
              </w:tc>
              <w:tc>
                <w:tcPr>
                  <w:tcW w:w="1076" w:type="dxa"/>
                  <w:tcBorders>
                    <w:top w:val="single" w:color="auto" w:sz="4" w:space="0"/>
                    <w:left w:val="single" w:color="auto" w:sz="4" w:space="0"/>
                    <w:bottom w:val="single" w:color="auto" w:sz="4" w:space="0"/>
                    <w:right w:val="single" w:color="auto" w:sz="4" w:space="0"/>
                  </w:tcBorders>
                  <w:vAlign w:val="center"/>
                </w:tcPr>
                <w:p>
                  <w:pPr>
                    <w:pStyle w:val="105"/>
                  </w:pPr>
                  <w:r>
                    <w:rPr>
                      <w:rFonts w:hint="eastAsia"/>
                    </w:rPr>
                    <w:t>非甲烷总烃</w:t>
                  </w:r>
                </w:p>
              </w:tc>
              <w:tc>
                <w:tcPr>
                  <w:tcW w:w="1063" w:type="dxa"/>
                  <w:tcBorders>
                    <w:top w:val="single" w:color="auto" w:sz="4" w:space="0"/>
                    <w:left w:val="single" w:color="auto" w:sz="4" w:space="0"/>
                    <w:bottom w:val="single" w:color="auto" w:sz="4" w:space="0"/>
                    <w:right w:val="double" w:color="FFFFFF" w:themeColor="background1" w:sz="4" w:space="0"/>
                  </w:tcBorders>
                  <w:vAlign w:val="center"/>
                </w:tcPr>
                <w:p>
                  <w:pPr>
                    <w:pStyle w:val="105"/>
                    <w:rPr>
                      <w:rFonts w:ascii="宋体" w:hAnsi="宋体" w:cs="宋体"/>
                    </w:rPr>
                  </w:pPr>
                  <w:r>
                    <w:rPr>
                      <w:rFonts w:hint="eastAsia" w:ascii="宋体" w:hAnsi="宋体" w:cs="宋体"/>
                    </w:rPr>
                    <w:t>0.</w:t>
                  </w:r>
                  <w:r>
                    <w:rPr>
                      <w:rFonts w:ascii="宋体" w:hAnsi="宋体" w:cs="宋体"/>
                    </w:rPr>
                    <w:t>00087</w:t>
                  </w:r>
                </w:p>
              </w:tc>
            </w:tr>
          </w:tbl>
          <w:p>
            <w:pPr>
              <w:snapToGrid w:val="0"/>
              <w:spacing w:before="144" w:beforeLines="30" w:line="360" w:lineRule="auto"/>
              <w:ind w:firstLine="480" w:firstLineChars="200"/>
              <w:jc w:val="center"/>
              <w:rPr>
                <w:sz w:val="24"/>
                <w:szCs w:val="24"/>
              </w:rPr>
            </w:pPr>
            <w:r>
              <w:rPr>
                <w:rFonts w:hint="eastAsia"/>
                <w:sz w:val="24"/>
                <w:szCs w:val="24"/>
              </w:rPr>
              <w:t>表7-3</w:t>
            </w:r>
            <w:r>
              <w:rPr>
                <w:sz w:val="24"/>
                <w:szCs w:val="24"/>
              </w:rPr>
              <w:t xml:space="preserve">     </w:t>
            </w:r>
            <w:r>
              <w:rPr>
                <w:rFonts w:hint="eastAsia"/>
                <w:sz w:val="24"/>
                <w:szCs w:val="24"/>
              </w:rPr>
              <w:t>主要污染源估算模型计算结果表</w:t>
            </w:r>
          </w:p>
          <w:tbl>
            <w:tblPr>
              <w:tblStyle w:val="25"/>
              <w:tblW w:w="852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515"/>
              <w:gridCol w:w="1179"/>
              <w:gridCol w:w="1179"/>
              <w:gridCol w:w="1179"/>
              <w:gridCol w:w="1179"/>
              <w:gridCol w:w="11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12" w:type="dxa"/>
                  <w:tcBorders>
                    <w:top w:val="double" w:color="auto" w:sz="4" w:space="0"/>
                    <w:tl2br w:val="nil"/>
                    <w:tr2bl w:val="nil"/>
                  </w:tcBorders>
                  <w:vAlign w:val="center"/>
                </w:tcPr>
                <w:p>
                  <w:pPr>
                    <w:pStyle w:val="105"/>
                    <w:rPr>
                      <w:rFonts w:ascii="宋体" w:hAnsi="宋体" w:cs="宋体"/>
                    </w:rPr>
                  </w:pPr>
                  <w:r>
                    <w:rPr>
                      <w:rFonts w:hint="eastAsia" w:ascii="宋体" w:hAnsi="宋体" w:cs="宋体"/>
                    </w:rPr>
                    <w:t>污染源</w:t>
                  </w:r>
                </w:p>
              </w:tc>
              <w:tc>
                <w:tcPr>
                  <w:tcW w:w="1515" w:type="dxa"/>
                  <w:tcBorders>
                    <w:top w:val="double" w:color="auto" w:sz="4" w:space="0"/>
                    <w:tl2br w:val="nil"/>
                    <w:tr2bl w:val="nil"/>
                  </w:tcBorders>
                  <w:vAlign w:val="center"/>
                </w:tcPr>
                <w:p>
                  <w:pPr>
                    <w:pStyle w:val="105"/>
                    <w:rPr>
                      <w:rFonts w:ascii="宋体" w:hAnsi="宋体" w:cs="宋体"/>
                    </w:rPr>
                  </w:pPr>
                  <w:r>
                    <w:rPr>
                      <w:rFonts w:hint="eastAsia" w:ascii="宋体" w:hAnsi="宋体" w:cs="宋体"/>
                    </w:rPr>
                    <w:t>污染物</w:t>
                  </w:r>
                </w:p>
              </w:tc>
              <w:tc>
                <w:tcPr>
                  <w:tcW w:w="1179" w:type="dxa"/>
                  <w:tcBorders>
                    <w:top w:val="double" w:color="auto" w:sz="4" w:space="0"/>
                    <w:tl2br w:val="nil"/>
                    <w:tr2bl w:val="nil"/>
                  </w:tcBorders>
                </w:tcPr>
                <w:p>
                  <w:pPr>
                    <w:pStyle w:val="105"/>
                    <w:rPr>
                      <w:rFonts w:ascii="宋体" w:hAnsi="宋体" w:cs="宋体"/>
                    </w:rPr>
                  </w:pPr>
                  <w:r>
                    <w:rPr>
                      <w:rFonts w:hint="eastAsia" w:ascii="宋体" w:hAnsi="宋体" w:cs="宋体"/>
                      <w:bCs/>
                    </w:rPr>
                    <w:t>最大落地浓度距离（m）</w:t>
                  </w:r>
                </w:p>
              </w:tc>
              <w:tc>
                <w:tcPr>
                  <w:tcW w:w="1179" w:type="dxa"/>
                  <w:tcBorders>
                    <w:top w:val="double" w:color="auto" w:sz="4" w:space="0"/>
                    <w:tl2br w:val="nil"/>
                    <w:tr2bl w:val="nil"/>
                  </w:tcBorders>
                  <w:vAlign w:val="center"/>
                </w:tcPr>
                <w:p>
                  <w:pPr>
                    <w:pStyle w:val="105"/>
                    <w:rPr>
                      <w:rFonts w:ascii="宋体" w:hAnsi="宋体" w:cs="宋体"/>
                    </w:rPr>
                  </w:pPr>
                  <w:r>
                    <w:rPr>
                      <w:rFonts w:hint="eastAsia" w:ascii="宋体" w:hAnsi="宋体" w:cs="宋体"/>
                    </w:rPr>
                    <w:t>评价标准(μg/m³)</w:t>
                  </w:r>
                </w:p>
              </w:tc>
              <w:tc>
                <w:tcPr>
                  <w:tcW w:w="1179" w:type="dxa"/>
                  <w:tcBorders>
                    <w:top w:val="double" w:color="auto" w:sz="4" w:space="0"/>
                    <w:tl2br w:val="nil"/>
                    <w:tr2bl w:val="nil"/>
                  </w:tcBorders>
                  <w:vAlign w:val="center"/>
                </w:tcPr>
                <w:p>
                  <w:pPr>
                    <w:pStyle w:val="105"/>
                    <w:rPr>
                      <w:rFonts w:ascii="宋体" w:hAnsi="宋体" w:cs="宋体"/>
                    </w:rPr>
                  </w:pPr>
                  <w:r>
                    <w:rPr>
                      <w:rFonts w:hint="eastAsia" w:ascii="宋体" w:hAnsi="宋体" w:cs="宋体"/>
                    </w:rPr>
                    <w:t>C</w:t>
                  </w:r>
                  <w:r>
                    <w:rPr>
                      <w:rFonts w:hint="eastAsia" w:ascii="宋体" w:hAnsi="宋体" w:cs="宋体"/>
                      <w:vertAlign w:val="subscript"/>
                    </w:rPr>
                    <w:t>max</w:t>
                  </w:r>
                </w:p>
                <w:p>
                  <w:pPr>
                    <w:pStyle w:val="105"/>
                    <w:rPr>
                      <w:rFonts w:ascii="宋体" w:hAnsi="宋体" w:cs="宋体"/>
                    </w:rPr>
                  </w:pPr>
                  <w:r>
                    <w:rPr>
                      <w:rFonts w:hint="eastAsia" w:ascii="宋体" w:hAnsi="宋体" w:cs="宋体"/>
                    </w:rPr>
                    <w:t>(μg/m³)</w:t>
                  </w:r>
                </w:p>
              </w:tc>
              <w:tc>
                <w:tcPr>
                  <w:tcW w:w="1179" w:type="dxa"/>
                  <w:tcBorders>
                    <w:top w:val="double" w:color="auto" w:sz="4" w:space="0"/>
                    <w:tl2br w:val="nil"/>
                    <w:tr2bl w:val="nil"/>
                  </w:tcBorders>
                  <w:vAlign w:val="center"/>
                </w:tcPr>
                <w:p>
                  <w:pPr>
                    <w:pStyle w:val="105"/>
                    <w:rPr>
                      <w:rFonts w:ascii="宋体" w:hAnsi="宋体" w:cs="宋体"/>
                    </w:rPr>
                  </w:pPr>
                  <w:r>
                    <w:rPr>
                      <w:rFonts w:hint="eastAsia" w:ascii="宋体" w:hAnsi="宋体" w:cs="宋体"/>
                    </w:rPr>
                    <w:t>P</w:t>
                  </w:r>
                  <w:r>
                    <w:rPr>
                      <w:rFonts w:hint="eastAsia" w:ascii="宋体" w:hAnsi="宋体" w:cs="宋体"/>
                      <w:vertAlign w:val="subscript"/>
                    </w:rPr>
                    <w:t>max</w:t>
                  </w:r>
                </w:p>
                <w:p>
                  <w:pPr>
                    <w:pStyle w:val="105"/>
                    <w:rPr>
                      <w:rFonts w:ascii="宋体" w:hAnsi="宋体" w:cs="宋体"/>
                    </w:rPr>
                  </w:pPr>
                  <w:r>
                    <w:rPr>
                      <w:rFonts w:hint="eastAsia" w:ascii="宋体" w:hAnsi="宋体" w:cs="宋体"/>
                    </w:rPr>
                    <w:t>(%)</w:t>
                  </w:r>
                </w:p>
              </w:tc>
              <w:tc>
                <w:tcPr>
                  <w:tcW w:w="1179" w:type="dxa"/>
                  <w:tcBorders>
                    <w:top w:val="double" w:color="auto" w:sz="4" w:space="0"/>
                    <w:tl2br w:val="nil"/>
                    <w:tr2bl w:val="nil"/>
                  </w:tcBorders>
                  <w:vAlign w:val="center"/>
                </w:tcPr>
                <w:p>
                  <w:pPr>
                    <w:pStyle w:val="105"/>
                    <w:rPr>
                      <w:rFonts w:ascii="宋体" w:hAnsi="宋体" w:cs="宋体"/>
                    </w:rPr>
                  </w:pPr>
                  <w:r>
                    <w:rPr>
                      <w:rFonts w:hint="eastAsia" w:ascii="宋体" w:hAnsi="宋体" w:cs="宋体"/>
                    </w:rPr>
                    <w:t>D</w:t>
                  </w:r>
                  <w:r>
                    <w:rPr>
                      <w:rFonts w:hint="eastAsia" w:ascii="宋体" w:hAnsi="宋体" w:cs="宋体"/>
                      <w:vertAlign w:val="subscript"/>
                    </w:rPr>
                    <w:t>10%</w:t>
                  </w:r>
                </w:p>
                <w:p>
                  <w:pPr>
                    <w:pStyle w:val="105"/>
                    <w:rPr>
                      <w:rFonts w:ascii="宋体" w:hAnsi="宋体" w:cs="宋体"/>
                    </w:rPr>
                  </w:pPr>
                  <w:r>
                    <w:rPr>
                      <w:rFonts w:hint="eastAsia" w:ascii="宋体" w:hAnsi="宋体" w:cs="宋体"/>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112" w:type="dxa"/>
                  <w:vMerge w:val="restart"/>
                  <w:tcBorders>
                    <w:tl2br w:val="nil"/>
                    <w:tr2bl w:val="nil"/>
                  </w:tcBorders>
                  <w:vAlign w:val="center"/>
                </w:tcPr>
                <w:p>
                  <w:pPr>
                    <w:pStyle w:val="105"/>
                    <w:rPr>
                      <w:rFonts w:ascii="宋体" w:hAnsi="宋体" w:cs="宋体"/>
                    </w:rPr>
                  </w:pPr>
                  <w:r>
                    <w:rPr>
                      <w:rFonts w:hint="eastAsia" w:ascii="宋体" w:hAnsi="宋体" w:cs="宋体"/>
                    </w:rPr>
                    <w:t>P</w:t>
                  </w:r>
                  <w:r>
                    <w:rPr>
                      <w:rFonts w:ascii="宋体" w:hAnsi="宋体" w:cs="宋体"/>
                    </w:rPr>
                    <w:t>1</w:t>
                  </w:r>
                  <w:r>
                    <w:rPr>
                      <w:rFonts w:hint="eastAsia" w:ascii="宋体" w:hAnsi="宋体" w:cs="宋体"/>
                    </w:rPr>
                    <w:t>排气筒</w:t>
                  </w:r>
                </w:p>
              </w:tc>
              <w:tc>
                <w:tcPr>
                  <w:tcW w:w="1515" w:type="dxa"/>
                  <w:tcBorders>
                    <w:tl2br w:val="nil"/>
                    <w:tr2bl w:val="nil"/>
                  </w:tcBorders>
                </w:tcPr>
                <w:p>
                  <w:pPr>
                    <w:pStyle w:val="105"/>
                    <w:rPr>
                      <w:rFonts w:ascii="宋体" w:hAnsi="宋体" w:cs="宋体"/>
                    </w:rPr>
                  </w:pPr>
                  <w:r>
                    <w:rPr>
                      <w:rFonts w:hint="eastAsia"/>
                    </w:rPr>
                    <w:t>颗粒物</w:t>
                  </w:r>
                </w:p>
              </w:tc>
              <w:tc>
                <w:tcPr>
                  <w:tcW w:w="1179" w:type="dxa"/>
                  <w:tcBorders>
                    <w:tl2br w:val="nil"/>
                    <w:tr2bl w:val="nil"/>
                  </w:tcBorders>
                  <w:vAlign w:val="center"/>
                </w:tcPr>
                <w:p>
                  <w:pPr>
                    <w:pStyle w:val="105"/>
                    <w:rPr>
                      <w:rFonts w:ascii="宋体" w:hAnsi="宋体" w:cs="宋体"/>
                    </w:rPr>
                  </w:pPr>
                  <w:r>
                    <w:rPr>
                      <w:rFonts w:hint="eastAsia" w:ascii="宋体" w:hAnsi="宋体" w:cs="宋体"/>
                    </w:rPr>
                    <w:t>74</w:t>
                  </w:r>
                </w:p>
              </w:tc>
              <w:tc>
                <w:tcPr>
                  <w:tcW w:w="1179" w:type="dxa"/>
                  <w:tcBorders>
                    <w:tl2br w:val="nil"/>
                    <w:tr2bl w:val="nil"/>
                  </w:tcBorders>
                  <w:vAlign w:val="center"/>
                </w:tcPr>
                <w:p>
                  <w:pPr>
                    <w:pStyle w:val="105"/>
                    <w:rPr>
                      <w:rFonts w:ascii="宋体" w:hAnsi="宋体" w:cs="宋体"/>
                    </w:rPr>
                  </w:pPr>
                  <w:r>
                    <w:rPr>
                      <w:rFonts w:hint="eastAsia" w:ascii="宋体" w:hAnsi="宋体" w:cs="宋体"/>
                    </w:rPr>
                    <w:t>1</w:t>
                  </w:r>
                  <w:r>
                    <w:rPr>
                      <w:rFonts w:ascii="宋体" w:hAnsi="宋体" w:cs="宋体"/>
                    </w:rPr>
                    <w:t>50</w:t>
                  </w:r>
                </w:p>
              </w:tc>
              <w:tc>
                <w:tcPr>
                  <w:tcW w:w="1179" w:type="dxa"/>
                </w:tcPr>
                <w:p>
                  <w:pPr>
                    <w:pStyle w:val="105"/>
                    <w:rPr>
                      <w:rFonts w:ascii="宋体" w:hAnsi="宋体" w:cs="宋体"/>
                      <w:highlight w:val="yellow"/>
                    </w:rPr>
                  </w:pPr>
                  <w:r>
                    <w:t>0.1344</w:t>
                  </w:r>
                </w:p>
              </w:tc>
              <w:tc>
                <w:tcPr>
                  <w:tcW w:w="1179" w:type="dxa"/>
                </w:tcPr>
                <w:p>
                  <w:pPr>
                    <w:pStyle w:val="105"/>
                    <w:rPr>
                      <w:rFonts w:ascii="宋体" w:hAnsi="宋体" w:cs="宋体"/>
                      <w:highlight w:val="yellow"/>
                    </w:rPr>
                  </w:pPr>
                  <w:r>
                    <w:t>0.0300</w:t>
                  </w:r>
                </w:p>
              </w:tc>
              <w:tc>
                <w:tcPr>
                  <w:tcW w:w="1179" w:type="dxa"/>
                  <w:tcBorders>
                    <w:tl2br w:val="nil"/>
                    <w:tr2bl w:val="nil"/>
                  </w:tcBorders>
                  <w:vAlign w:val="center"/>
                </w:tcPr>
                <w:p>
                  <w:pPr>
                    <w:pStyle w:val="105"/>
                    <w:rPr>
                      <w:rFonts w:ascii="宋体" w:hAnsi="宋体" w:cs="宋体"/>
                    </w:rPr>
                  </w:pPr>
                  <w:r>
                    <w:rPr>
                      <w:rFonts w:hint="eastAsia" w:ascii="宋体" w:hAnsi="宋体" w:cs="宋体"/>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12" w:type="dxa"/>
                  <w:vMerge w:val="continue"/>
                  <w:tcBorders>
                    <w:tl2br w:val="nil"/>
                    <w:tr2bl w:val="nil"/>
                  </w:tcBorders>
                  <w:vAlign w:val="center"/>
                </w:tcPr>
                <w:p>
                  <w:pPr>
                    <w:pStyle w:val="105"/>
                    <w:rPr>
                      <w:rFonts w:ascii="宋体" w:hAnsi="宋体" w:cs="宋体"/>
                    </w:rPr>
                  </w:pPr>
                </w:p>
              </w:tc>
              <w:tc>
                <w:tcPr>
                  <w:tcW w:w="1515" w:type="dxa"/>
                  <w:tcBorders>
                    <w:tl2br w:val="nil"/>
                    <w:tr2bl w:val="nil"/>
                  </w:tcBorders>
                </w:tcPr>
                <w:p>
                  <w:pPr>
                    <w:pStyle w:val="105"/>
                    <w:rPr>
                      <w:rFonts w:ascii="宋体" w:hAnsi="宋体" w:cs="宋体"/>
                    </w:rPr>
                  </w:pPr>
                  <w:r>
                    <w:rPr>
                      <w:rFonts w:hint="eastAsia"/>
                    </w:rPr>
                    <w:t>非甲烷总烃</w:t>
                  </w:r>
                </w:p>
              </w:tc>
              <w:tc>
                <w:tcPr>
                  <w:tcW w:w="1179" w:type="dxa"/>
                  <w:tcBorders>
                    <w:tl2br w:val="nil"/>
                    <w:tr2bl w:val="nil"/>
                  </w:tcBorders>
                  <w:vAlign w:val="center"/>
                </w:tcPr>
                <w:p>
                  <w:pPr>
                    <w:pStyle w:val="105"/>
                    <w:rPr>
                      <w:rFonts w:ascii="宋体" w:hAnsi="宋体" w:cs="宋体"/>
                    </w:rPr>
                  </w:pPr>
                  <w:r>
                    <w:rPr>
                      <w:rFonts w:hint="eastAsia" w:ascii="宋体" w:hAnsi="宋体" w:cs="宋体"/>
                    </w:rPr>
                    <w:t>74</w:t>
                  </w:r>
                </w:p>
              </w:tc>
              <w:tc>
                <w:tcPr>
                  <w:tcW w:w="1179" w:type="dxa"/>
                  <w:tcBorders>
                    <w:tl2br w:val="nil"/>
                    <w:tr2bl w:val="nil"/>
                  </w:tcBorders>
                  <w:vAlign w:val="center"/>
                </w:tcPr>
                <w:p>
                  <w:pPr>
                    <w:pStyle w:val="105"/>
                    <w:rPr>
                      <w:rFonts w:ascii="宋体" w:hAnsi="宋体" w:cs="宋体"/>
                    </w:rPr>
                  </w:pPr>
                  <w:r>
                    <w:rPr>
                      <w:rFonts w:hint="eastAsia" w:ascii="宋体" w:hAnsi="宋体" w:cs="宋体"/>
                    </w:rPr>
                    <w:t>2000</w:t>
                  </w:r>
                </w:p>
              </w:tc>
              <w:tc>
                <w:tcPr>
                  <w:tcW w:w="1179" w:type="dxa"/>
                </w:tcPr>
                <w:p>
                  <w:pPr>
                    <w:pStyle w:val="105"/>
                    <w:rPr>
                      <w:rFonts w:ascii="宋体" w:hAnsi="宋体" w:cs="宋体"/>
                      <w:highlight w:val="yellow"/>
                    </w:rPr>
                  </w:pPr>
                  <w:r>
                    <w:t>0.0974</w:t>
                  </w:r>
                </w:p>
              </w:tc>
              <w:tc>
                <w:tcPr>
                  <w:tcW w:w="1179" w:type="dxa"/>
                </w:tcPr>
                <w:p>
                  <w:pPr>
                    <w:pStyle w:val="105"/>
                    <w:rPr>
                      <w:rFonts w:ascii="宋体" w:hAnsi="宋体" w:cs="宋体"/>
                      <w:highlight w:val="yellow"/>
                    </w:rPr>
                  </w:pPr>
                  <w:r>
                    <w:t>0.0000</w:t>
                  </w:r>
                </w:p>
              </w:tc>
              <w:tc>
                <w:tcPr>
                  <w:tcW w:w="1179" w:type="dxa"/>
                  <w:tcBorders>
                    <w:tl2br w:val="nil"/>
                    <w:tr2bl w:val="nil"/>
                  </w:tcBorders>
                  <w:vAlign w:val="center"/>
                </w:tcPr>
                <w:p>
                  <w:pPr>
                    <w:pStyle w:val="105"/>
                    <w:rPr>
                      <w:rFonts w:ascii="宋体" w:hAnsi="宋体" w:cs="宋体"/>
                    </w:rPr>
                  </w:pPr>
                  <w:r>
                    <w:rPr>
                      <w:rFonts w:hint="eastAsia" w:ascii="宋体" w:hAnsi="宋体" w:cs="宋体"/>
                    </w:rPr>
                    <w:t>/</w:t>
                  </w:r>
                </w:p>
              </w:tc>
            </w:tr>
          </w:tbl>
          <w:p>
            <w:pPr>
              <w:pStyle w:val="2"/>
            </w:pPr>
          </w:p>
          <w:p>
            <w:pPr>
              <w:snapToGrid w:val="0"/>
              <w:spacing w:before="144" w:beforeLines="30" w:line="360" w:lineRule="auto"/>
              <w:ind w:firstLine="480" w:firstLineChars="200"/>
              <w:rPr>
                <w:rFonts w:ascii="宋体" w:hAnsi="宋体" w:eastAsia="宋体" w:cs="宋体"/>
                <w:color w:val="FF0000"/>
                <w:sz w:val="24"/>
                <w:szCs w:val="24"/>
              </w:rPr>
            </w:pPr>
            <w:r>
              <w:rPr>
                <w:rFonts w:hint="eastAsia" w:ascii="宋体" w:hAnsi="宋体" w:eastAsia="宋体" w:cs="宋体"/>
                <w:sz w:val="24"/>
                <w:szCs w:val="24"/>
              </w:rPr>
              <w:t>由上表可知，本项目大气评价等级为三级，不设大气环境影响评价范围，本项目产生的大气污染物的排放情况均能够满足</w:t>
            </w:r>
            <w:r>
              <w:rPr>
                <w:rFonts w:hint="eastAsia"/>
                <w:sz w:val="24"/>
                <w:szCs w:val="24"/>
              </w:rPr>
              <w:t>《大气污染物综合排放标准》（</w:t>
            </w:r>
            <w:r>
              <w:rPr>
                <w:sz w:val="24"/>
                <w:szCs w:val="24"/>
              </w:rPr>
              <w:t>GB16297-1996</w:t>
            </w:r>
            <w:r>
              <w:rPr>
                <w:rFonts w:hint="eastAsia"/>
                <w:sz w:val="24"/>
                <w:szCs w:val="24"/>
              </w:rPr>
              <w:t>）表</w:t>
            </w:r>
            <w:r>
              <w:rPr>
                <w:sz w:val="24"/>
                <w:szCs w:val="24"/>
              </w:rPr>
              <w:t>2</w:t>
            </w:r>
            <w:r>
              <w:rPr>
                <w:rFonts w:hint="eastAsia"/>
                <w:sz w:val="24"/>
                <w:szCs w:val="24"/>
              </w:rPr>
              <w:t>新污染源大气污染物排放限值二级标准，</w:t>
            </w:r>
            <w:r>
              <w:rPr>
                <w:rFonts w:hint="eastAsia" w:ascii="宋体" w:hAnsi="宋体" w:eastAsia="宋体" w:cs="宋体"/>
                <w:sz w:val="24"/>
                <w:szCs w:val="24"/>
              </w:rPr>
              <w:t>对周围大气环境影响较小，达标排放。大气环境影响评价自查表详见表4</w:t>
            </w:r>
            <w:r>
              <w:rPr>
                <w:rFonts w:ascii="宋体" w:hAnsi="宋体" w:eastAsia="宋体" w:cs="宋体"/>
                <w:sz w:val="24"/>
                <w:szCs w:val="24"/>
              </w:rPr>
              <w:t>0</w:t>
            </w:r>
            <w:r>
              <w:rPr>
                <w:rFonts w:hint="eastAsia" w:ascii="宋体" w:hAnsi="宋体" w:eastAsia="宋体" w:cs="宋体"/>
                <w:sz w:val="24"/>
                <w:szCs w:val="24"/>
              </w:rPr>
              <w:t>。</w:t>
            </w:r>
          </w:p>
          <w:p>
            <w:pPr>
              <w:snapToGrid w:val="0"/>
              <w:spacing w:before="144" w:beforeLines="30" w:line="360" w:lineRule="auto"/>
              <w:ind w:firstLine="480" w:firstLineChars="200"/>
              <w:jc w:val="center"/>
              <w:rPr>
                <w:sz w:val="24"/>
                <w:szCs w:val="24"/>
              </w:rPr>
            </w:pPr>
            <w:r>
              <w:rPr>
                <w:rFonts w:hint="eastAsia"/>
                <w:sz w:val="24"/>
                <w:szCs w:val="24"/>
              </w:rPr>
              <w:t>表7-4</w:t>
            </w:r>
            <w:r>
              <w:rPr>
                <w:sz w:val="24"/>
                <w:szCs w:val="24"/>
              </w:rPr>
              <w:t xml:space="preserve">  </w:t>
            </w:r>
            <w:r>
              <w:rPr>
                <w:rFonts w:hint="eastAsia"/>
                <w:sz w:val="24"/>
                <w:szCs w:val="24"/>
              </w:rPr>
              <w:t>建设项目大气环境影响评价自查表</w:t>
            </w:r>
          </w:p>
          <w:tbl>
            <w:tblPr>
              <w:tblStyle w:val="26"/>
              <w:tblW w:w="8660"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5"/>
              <w:gridCol w:w="1406"/>
              <w:gridCol w:w="898"/>
              <w:gridCol w:w="59"/>
              <w:gridCol w:w="615"/>
              <w:gridCol w:w="224"/>
              <w:gridCol w:w="613"/>
              <w:gridCol w:w="285"/>
              <w:gridCol w:w="450"/>
              <w:gridCol w:w="85"/>
              <w:gridCol w:w="363"/>
              <w:gridCol w:w="711"/>
              <w:gridCol w:w="186"/>
              <w:gridCol w:w="139"/>
              <w:gridCol w:w="89"/>
              <w:gridCol w:w="671"/>
              <w:gridCol w:w="901"/>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71" w:type="dxa"/>
                  <w:gridSpan w:val="2"/>
                  <w:tcBorders>
                    <w:tl2br w:val="nil"/>
                    <w:tr2bl w:val="nil"/>
                  </w:tcBorders>
                  <w:vAlign w:val="center"/>
                </w:tcPr>
                <w:p>
                  <w:pPr>
                    <w:snapToGrid w:val="0"/>
                    <w:jc w:val="center"/>
                    <w:rPr>
                      <w:rFonts w:eastAsiaTheme="minorEastAsia"/>
                      <w:sz w:val="21"/>
                      <w:szCs w:val="21"/>
                    </w:rPr>
                  </w:pPr>
                  <w:r>
                    <w:rPr>
                      <w:rFonts w:hint="eastAsia"/>
                      <w:sz w:val="21"/>
                      <w:szCs w:val="21"/>
                    </w:rPr>
                    <w:t>工作内容</w:t>
                  </w:r>
                </w:p>
              </w:tc>
              <w:tc>
                <w:tcPr>
                  <w:tcW w:w="6289" w:type="dxa"/>
                  <w:gridSpan w:val="15"/>
                  <w:tcBorders>
                    <w:tl2br w:val="nil"/>
                    <w:tr2bl w:val="nil"/>
                  </w:tcBorders>
                  <w:vAlign w:val="center"/>
                </w:tcPr>
                <w:p>
                  <w:pPr>
                    <w:snapToGrid w:val="0"/>
                    <w:jc w:val="center"/>
                    <w:rPr>
                      <w:rFonts w:eastAsiaTheme="minorEastAsia"/>
                      <w:sz w:val="21"/>
                      <w:szCs w:val="21"/>
                    </w:rPr>
                  </w:pPr>
                  <w:r>
                    <w:rPr>
                      <w:rFonts w:hint="eastAsia"/>
                      <w:sz w:val="21"/>
                      <w:szCs w:val="21"/>
                    </w:rPr>
                    <w:t>自查项目</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965" w:type="dxa"/>
                  <w:vMerge w:val="restart"/>
                  <w:tcBorders>
                    <w:tl2br w:val="nil"/>
                    <w:tr2bl w:val="nil"/>
                  </w:tcBorders>
                  <w:vAlign w:val="center"/>
                </w:tcPr>
                <w:p>
                  <w:pPr>
                    <w:snapToGrid w:val="0"/>
                    <w:jc w:val="center"/>
                    <w:rPr>
                      <w:rFonts w:eastAsiaTheme="minorEastAsia"/>
                      <w:sz w:val="21"/>
                      <w:szCs w:val="21"/>
                    </w:rPr>
                  </w:pPr>
                  <w:r>
                    <w:rPr>
                      <w:rFonts w:hint="eastAsia"/>
                      <w:sz w:val="21"/>
                      <w:szCs w:val="21"/>
                    </w:rPr>
                    <w:t>评价等级与范围</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评价等级</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一级</w:t>
                  </w:r>
                  <w:r>
                    <w:rPr>
                      <w:rFonts w:hint="eastAsia"/>
                      <w:sz w:val="21"/>
                      <w:szCs w:val="21"/>
                    </w:rPr>
                    <w:sym w:font="Wingdings 2" w:char="00A3"/>
                  </w:r>
                </w:p>
              </w:tc>
              <w:tc>
                <w:tcPr>
                  <w:tcW w:w="1894"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二级</w:t>
                  </w:r>
                  <w:r>
                    <w:rPr>
                      <w:rFonts w:hint="eastAsia"/>
                      <w:sz w:val="21"/>
                      <w:szCs w:val="21"/>
                    </w:rPr>
                    <w:sym w:font="Wingdings 2" w:char="00A3"/>
                  </w:r>
                </w:p>
              </w:tc>
              <w:tc>
                <w:tcPr>
                  <w:tcW w:w="1986"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三级</w:t>
                  </w:r>
                  <w:r>
                    <w:rPr>
                      <w:rFonts w:hint="eastAsia"/>
                      <w:sz w:val="21"/>
                      <w:szCs w:val="21"/>
                    </w:rPr>
                    <w:sym w:font="Wingdings 2" w:char="0052"/>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评价范围</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边长=50km</w:t>
                  </w:r>
                  <w:r>
                    <w:rPr>
                      <w:rFonts w:hint="eastAsia"/>
                      <w:sz w:val="21"/>
                      <w:szCs w:val="21"/>
                    </w:rPr>
                    <w:sym w:font="Wingdings 2" w:char="00A3"/>
                  </w:r>
                </w:p>
              </w:tc>
              <w:tc>
                <w:tcPr>
                  <w:tcW w:w="1894"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边长5~50km</w:t>
                  </w:r>
                  <w:r>
                    <w:rPr>
                      <w:rFonts w:hint="eastAsia"/>
                      <w:sz w:val="21"/>
                      <w:szCs w:val="21"/>
                    </w:rPr>
                    <w:sym w:font="Wingdings 2" w:char="00A3"/>
                  </w:r>
                </w:p>
              </w:tc>
              <w:tc>
                <w:tcPr>
                  <w:tcW w:w="1986" w:type="dxa"/>
                  <w:gridSpan w:val="5"/>
                  <w:tcBorders>
                    <w:tl2br w:val="nil"/>
                    <w:tr2bl w:val="nil"/>
                  </w:tcBorders>
                  <w:vAlign w:val="center"/>
                </w:tcPr>
                <w:p>
                  <w:pPr>
                    <w:snapToGrid w:val="0"/>
                    <w:jc w:val="center"/>
                    <w:rPr>
                      <w:sz w:val="21"/>
                      <w:szCs w:val="21"/>
                    </w:rPr>
                  </w:pPr>
                  <w:r>
                    <w:rPr>
                      <w:rFonts w:hint="eastAsia"/>
                      <w:sz w:val="21"/>
                      <w:szCs w:val="21"/>
                    </w:rPr>
                    <w:t>边长=5km</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65" w:type="dxa"/>
                  <w:vMerge w:val="restart"/>
                  <w:tcBorders>
                    <w:tl2br w:val="nil"/>
                    <w:tr2bl w:val="nil"/>
                  </w:tcBorders>
                  <w:vAlign w:val="center"/>
                </w:tcPr>
                <w:p>
                  <w:pPr>
                    <w:snapToGrid w:val="0"/>
                    <w:jc w:val="center"/>
                    <w:rPr>
                      <w:rFonts w:eastAsiaTheme="minorEastAsia"/>
                      <w:sz w:val="21"/>
                      <w:szCs w:val="21"/>
                    </w:rPr>
                  </w:pPr>
                  <w:r>
                    <w:rPr>
                      <w:rFonts w:hint="eastAsia"/>
                      <w:sz w:val="21"/>
                      <w:szCs w:val="21"/>
                    </w:rPr>
                    <w:t>评价因子</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SO</w:t>
                  </w:r>
                  <w:r>
                    <w:rPr>
                      <w:rFonts w:hint="eastAsia"/>
                      <w:sz w:val="21"/>
                      <w:szCs w:val="21"/>
                      <w:vertAlign w:val="subscript"/>
                    </w:rPr>
                    <w:t>2</w:t>
                  </w:r>
                  <w:r>
                    <w:rPr>
                      <w:rFonts w:hint="eastAsia"/>
                      <w:sz w:val="21"/>
                      <w:szCs w:val="21"/>
                    </w:rPr>
                    <w:t>+NO</w:t>
                  </w:r>
                  <w:r>
                    <w:rPr>
                      <w:rFonts w:hint="eastAsia"/>
                      <w:sz w:val="21"/>
                      <w:szCs w:val="21"/>
                      <w:vertAlign w:val="subscript"/>
                    </w:rPr>
                    <w:t>X</w:t>
                  </w:r>
                  <w:r>
                    <w:rPr>
                      <w:rFonts w:hint="eastAsia"/>
                      <w:sz w:val="21"/>
                      <w:szCs w:val="21"/>
                    </w:rPr>
                    <w:t>排放量</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≥2000t/a</w:t>
                  </w:r>
                  <w:r>
                    <w:rPr>
                      <w:rFonts w:hint="eastAsia"/>
                      <w:sz w:val="21"/>
                      <w:szCs w:val="21"/>
                    </w:rPr>
                    <w:sym w:font="Wingdings 2" w:char="00A3"/>
                  </w:r>
                </w:p>
              </w:tc>
              <w:tc>
                <w:tcPr>
                  <w:tcW w:w="1894" w:type="dxa"/>
                  <w:gridSpan w:val="5"/>
                  <w:tcBorders>
                    <w:tl2br w:val="nil"/>
                    <w:tr2bl w:val="nil"/>
                  </w:tcBorders>
                  <w:vAlign w:val="center"/>
                </w:tcPr>
                <w:p>
                  <w:pPr>
                    <w:snapToGrid w:val="0"/>
                    <w:jc w:val="center"/>
                    <w:rPr>
                      <w:sz w:val="21"/>
                      <w:szCs w:val="21"/>
                    </w:rPr>
                  </w:pPr>
                  <w:r>
                    <w:rPr>
                      <w:rFonts w:hint="eastAsia"/>
                      <w:sz w:val="21"/>
                      <w:szCs w:val="21"/>
                    </w:rPr>
                    <w:t>500~2000t/a</w:t>
                  </w:r>
                  <w:r>
                    <w:rPr>
                      <w:rFonts w:hint="eastAsia"/>
                      <w:sz w:val="21"/>
                      <w:szCs w:val="21"/>
                    </w:rPr>
                    <w:sym w:font="Wingdings 2" w:char="00A3"/>
                  </w:r>
                </w:p>
              </w:tc>
              <w:tc>
                <w:tcPr>
                  <w:tcW w:w="1986"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&lt;500t/a</w:t>
                  </w:r>
                  <w:r>
                    <w:rPr>
                      <w:rFonts w:hint="eastAsia"/>
                      <w:sz w:val="21"/>
                      <w:szCs w:val="21"/>
                    </w:rPr>
                    <w:sym w:font="Wingdings 2" w:char="0052"/>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评价因子</w:t>
                  </w:r>
                </w:p>
              </w:tc>
              <w:tc>
                <w:tcPr>
                  <w:tcW w:w="3229" w:type="dxa"/>
                  <w:gridSpan w:val="8"/>
                  <w:tcBorders>
                    <w:tl2br w:val="nil"/>
                    <w:tr2bl w:val="nil"/>
                  </w:tcBorders>
                  <w:vAlign w:val="center"/>
                </w:tcPr>
                <w:p>
                  <w:pPr>
                    <w:snapToGrid w:val="0"/>
                    <w:jc w:val="center"/>
                    <w:rPr>
                      <w:sz w:val="21"/>
                      <w:szCs w:val="21"/>
                    </w:rPr>
                  </w:pPr>
                  <w:r>
                    <w:rPr>
                      <w:rFonts w:hint="eastAsia"/>
                      <w:sz w:val="21"/>
                      <w:szCs w:val="21"/>
                    </w:rPr>
                    <w:t>基本污染物（颗粒物、SO</w:t>
                  </w:r>
                  <w:r>
                    <w:rPr>
                      <w:rFonts w:hint="eastAsia"/>
                      <w:sz w:val="21"/>
                      <w:szCs w:val="21"/>
                      <w:vertAlign w:val="subscript"/>
                    </w:rPr>
                    <w:t>2</w:t>
                  </w:r>
                  <w:r>
                    <w:rPr>
                      <w:rFonts w:hint="eastAsia"/>
                      <w:sz w:val="21"/>
                      <w:szCs w:val="21"/>
                    </w:rPr>
                    <w:t>、NO</w:t>
                  </w:r>
                  <w:r>
                    <w:rPr>
                      <w:rFonts w:hint="eastAsia"/>
                      <w:sz w:val="21"/>
                      <w:szCs w:val="21"/>
                      <w:vertAlign w:val="subscript"/>
                    </w:rPr>
                    <w:t>X</w:t>
                  </w:r>
                  <w:r>
                    <w:rPr>
                      <w:rFonts w:hint="eastAsia"/>
                      <w:sz w:val="21"/>
                      <w:szCs w:val="21"/>
                    </w:rPr>
                    <w:t>）</w:t>
                  </w:r>
                </w:p>
                <w:p>
                  <w:pPr>
                    <w:snapToGrid w:val="0"/>
                    <w:jc w:val="center"/>
                    <w:rPr>
                      <w:rFonts w:eastAsiaTheme="minorEastAsia"/>
                      <w:sz w:val="21"/>
                      <w:szCs w:val="21"/>
                    </w:rPr>
                  </w:pPr>
                  <w:r>
                    <w:rPr>
                      <w:rFonts w:hint="eastAsia"/>
                      <w:sz w:val="21"/>
                      <w:szCs w:val="21"/>
                    </w:rPr>
                    <w:t>其它污染物（   ）</w:t>
                  </w:r>
                </w:p>
              </w:tc>
              <w:tc>
                <w:tcPr>
                  <w:tcW w:w="3060" w:type="dxa"/>
                  <w:gridSpan w:val="7"/>
                  <w:tcBorders>
                    <w:tl2br w:val="nil"/>
                    <w:tr2bl w:val="nil"/>
                  </w:tcBorders>
                  <w:vAlign w:val="center"/>
                </w:tcPr>
                <w:p>
                  <w:pPr>
                    <w:snapToGrid w:val="0"/>
                    <w:jc w:val="center"/>
                    <w:rPr>
                      <w:sz w:val="21"/>
                      <w:szCs w:val="21"/>
                    </w:rPr>
                  </w:pPr>
                  <w:r>
                    <w:rPr>
                      <w:rFonts w:hint="eastAsia"/>
                      <w:sz w:val="21"/>
                      <w:szCs w:val="21"/>
                    </w:rPr>
                    <w:t xml:space="preserve">包括二次PM2.5  </w:t>
                  </w:r>
                  <w:r>
                    <w:rPr>
                      <w:rFonts w:hint="eastAsia"/>
                      <w:sz w:val="21"/>
                      <w:szCs w:val="21"/>
                    </w:rPr>
                    <w:sym w:font="Wingdings 2" w:char="00A3"/>
                  </w:r>
                </w:p>
                <w:p>
                  <w:pPr>
                    <w:snapToGrid w:val="0"/>
                    <w:jc w:val="center"/>
                    <w:rPr>
                      <w:sz w:val="21"/>
                      <w:szCs w:val="21"/>
                    </w:rPr>
                  </w:pPr>
                  <w:r>
                    <w:rPr>
                      <w:rFonts w:hint="eastAsia"/>
                      <w:sz w:val="21"/>
                      <w:szCs w:val="21"/>
                    </w:rPr>
                    <w:t>不包括二次PM2.5</w:t>
                  </w:r>
                  <w:r>
                    <w:rPr>
                      <w:rFonts w:hint="eastAsia"/>
                      <w:sz w:val="21"/>
                      <w:szCs w:val="21"/>
                    </w:rPr>
                    <w:sym w:font="Wingdings 2" w:char="0052"/>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965" w:type="dxa"/>
                  <w:tcBorders>
                    <w:tl2br w:val="nil"/>
                    <w:tr2bl w:val="nil"/>
                  </w:tcBorders>
                  <w:vAlign w:val="center"/>
                </w:tcPr>
                <w:p>
                  <w:pPr>
                    <w:snapToGrid w:val="0"/>
                    <w:jc w:val="center"/>
                    <w:rPr>
                      <w:rFonts w:eastAsiaTheme="minorEastAsia"/>
                      <w:sz w:val="21"/>
                      <w:szCs w:val="21"/>
                    </w:rPr>
                  </w:pPr>
                  <w:r>
                    <w:rPr>
                      <w:rFonts w:hint="eastAsia"/>
                      <w:sz w:val="21"/>
                      <w:szCs w:val="21"/>
                    </w:rPr>
                    <w:t>评价标准</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国家标准</w:t>
                  </w:r>
                  <w:r>
                    <w:rPr>
                      <w:rFonts w:hint="eastAsia"/>
                      <w:sz w:val="21"/>
                      <w:szCs w:val="21"/>
                    </w:rPr>
                    <w:sym w:font="Wingdings 2" w:char="0052"/>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地方标准</w:t>
                  </w:r>
                  <w:r>
                    <w:rPr>
                      <w:rFonts w:hint="eastAsia"/>
                      <w:sz w:val="21"/>
                      <w:szCs w:val="21"/>
                    </w:rPr>
                    <w:sym w:font="Wingdings 2" w:char="00A3"/>
                  </w:r>
                </w:p>
              </w:tc>
              <w:tc>
                <w:tcPr>
                  <w:tcW w:w="1894"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附录D</w:t>
                  </w:r>
                  <w:r>
                    <w:rPr>
                      <w:rFonts w:hint="eastAsia"/>
                      <w:sz w:val="21"/>
                      <w:szCs w:val="21"/>
                    </w:rPr>
                    <w:sym w:font="Wingdings 2" w:char="00A3"/>
                  </w:r>
                </w:p>
              </w:tc>
              <w:tc>
                <w:tcPr>
                  <w:tcW w:w="1986"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其它标准</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965" w:type="dxa"/>
                  <w:vMerge w:val="restart"/>
                  <w:tcBorders>
                    <w:tl2br w:val="nil"/>
                    <w:tr2bl w:val="nil"/>
                  </w:tcBorders>
                  <w:vAlign w:val="center"/>
                </w:tcPr>
                <w:p>
                  <w:pPr>
                    <w:snapToGrid w:val="0"/>
                    <w:jc w:val="center"/>
                    <w:rPr>
                      <w:rFonts w:eastAsiaTheme="minorEastAsia"/>
                      <w:sz w:val="21"/>
                      <w:szCs w:val="21"/>
                    </w:rPr>
                  </w:pPr>
                  <w:r>
                    <w:rPr>
                      <w:rFonts w:hint="eastAsia"/>
                      <w:sz w:val="21"/>
                      <w:szCs w:val="21"/>
                    </w:rPr>
                    <w:t>现状评价</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环境功能区</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一类区</w:t>
                  </w:r>
                  <w:r>
                    <w:rPr>
                      <w:rFonts w:hint="eastAsia"/>
                      <w:sz w:val="21"/>
                      <w:szCs w:val="21"/>
                    </w:rPr>
                    <w:sym w:font="Wingdings 2" w:char="00A3"/>
                  </w:r>
                </w:p>
              </w:tc>
              <w:tc>
                <w:tcPr>
                  <w:tcW w:w="1894"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二类区</w:t>
                  </w:r>
                  <w:r>
                    <w:rPr>
                      <w:rFonts w:hint="eastAsia"/>
                      <w:sz w:val="21"/>
                      <w:szCs w:val="21"/>
                    </w:rPr>
                    <w:sym w:font="Wingdings 2" w:char="0052"/>
                  </w:r>
                </w:p>
              </w:tc>
              <w:tc>
                <w:tcPr>
                  <w:tcW w:w="1986"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一类区和二类区</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评价基准年</w:t>
                  </w:r>
                </w:p>
              </w:tc>
              <w:tc>
                <w:tcPr>
                  <w:tcW w:w="6289" w:type="dxa"/>
                  <w:gridSpan w:val="15"/>
                  <w:tcBorders>
                    <w:tl2br w:val="nil"/>
                    <w:tr2bl w:val="nil"/>
                  </w:tcBorders>
                  <w:vAlign w:val="center"/>
                </w:tcPr>
                <w:p>
                  <w:pPr>
                    <w:snapToGrid w:val="0"/>
                    <w:jc w:val="center"/>
                    <w:rPr>
                      <w:rFonts w:eastAsiaTheme="minorEastAsia"/>
                      <w:sz w:val="21"/>
                      <w:szCs w:val="21"/>
                    </w:rPr>
                  </w:pPr>
                  <w:r>
                    <w:rPr>
                      <w:rFonts w:hint="eastAsia"/>
                      <w:sz w:val="21"/>
                      <w:szCs w:val="21"/>
                    </w:rPr>
                    <w:t>（2018）年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环境空气质量现状调查数据来源</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长期例行监测数据</w:t>
                  </w:r>
                  <w:r>
                    <w:rPr>
                      <w:rFonts w:hint="eastAsia"/>
                      <w:sz w:val="21"/>
                      <w:szCs w:val="21"/>
                    </w:rPr>
                    <w:sym w:font="Wingdings 2" w:char="00A3"/>
                  </w:r>
                </w:p>
              </w:tc>
              <w:tc>
                <w:tcPr>
                  <w:tcW w:w="1894"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主管部门发布的数据</w:t>
                  </w:r>
                  <w:r>
                    <w:rPr>
                      <w:rFonts w:hint="eastAsia"/>
                      <w:sz w:val="21"/>
                      <w:szCs w:val="21"/>
                    </w:rPr>
                    <w:sym w:font="Wingdings 2" w:char="0052"/>
                  </w:r>
                </w:p>
              </w:tc>
              <w:tc>
                <w:tcPr>
                  <w:tcW w:w="1986"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现状补充监测</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现状评价</w:t>
                  </w:r>
                </w:p>
              </w:tc>
              <w:tc>
                <w:tcPr>
                  <w:tcW w:w="3229" w:type="dxa"/>
                  <w:gridSpan w:val="8"/>
                  <w:tcBorders>
                    <w:tl2br w:val="nil"/>
                    <w:tr2bl w:val="nil"/>
                  </w:tcBorders>
                  <w:vAlign w:val="center"/>
                </w:tcPr>
                <w:p>
                  <w:pPr>
                    <w:snapToGrid w:val="0"/>
                    <w:jc w:val="center"/>
                    <w:rPr>
                      <w:rFonts w:eastAsiaTheme="minorEastAsia"/>
                      <w:sz w:val="21"/>
                      <w:szCs w:val="21"/>
                    </w:rPr>
                  </w:pPr>
                  <w:r>
                    <w:rPr>
                      <w:rFonts w:hint="eastAsia"/>
                      <w:sz w:val="21"/>
                      <w:szCs w:val="21"/>
                    </w:rPr>
                    <w:t>达标区</w:t>
                  </w:r>
                  <w:r>
                    <w:rPr>
                      <w:rFonts w:hint="eastAsia"/>
                      <w:sz w:val="21"/>
                      <w:szCs w:val="21"/>
                    </w:rPr>
                    <w:sym w:font="Wingdings 2" w:char="00A3"/>
                  </w:r>
                </w:p>
              </w:tc>
              <w:tc>
                <w:tcPr>
                  <w:tcW w:w="3060" w:type="dxa"/>
                  <w:gridSpan w:val="7"/>
                  <w:tcBorders>
                    <w:tl2br w:val="nil"/>
                    <w:tr2bl w:val="nil"/>
                  </w:tcBorders>
                  <w:vAlign w:val="center"/>
                </w:tcPr>
                <w:p>
                  <w:pPr>
                    <w:snapToGrid w:val="0"/>
                    <w:jc w:val="center"/>
                    <w:rPr>
                      <w:rFonts w:eastAsiaTheme="minorEastAsia"/>
                      <w:sz w:val="21"/>
                      <w:szCs w:val="21"/>
                    </w:rPr>
                  </w:pPr>
                  <w:r>
                    <w:rPr>
                      <w:rFonts w:hint="eastAsia"/>
                      <w:sz w:val="21"/>
                      <w:szCs w:val="21"/>
                    </w:rPr>
                    <w:t>非达标区</w:t>
                  </w:r>
                  <w:r>
                    <w:rPr>
                      <w:rFonts w:hint="eastAsia"/>
                      <w:sz w:val="21"/>
                      <w:szCs w:val="21"/>
                    </w:rPr>
                    <w:sym w:font="Wingdings 2" w:char="0052"/>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65" w:type="dxa"/>
                  <w:tcBorders>
                    <w:tl2br w:val="nil"/>
                    <w:tr2bl w:val="nil"/>
                  </w:tcBorders>
                  <w:vAlign w:val="center"/>
                </w:tcPr>
                <w:p>
                  <w:pPr>
                    <w:snapToGrid w:val="0"/>
                    <w:jc w:val="center"/>
                    <w:rPr>
                      <w:sz w:val="21"/>
                      <w:szCs w:val="21"/>
                    </w:rPr>
                  </w:pPr>
                  <w:r>
                    <w:rPr>
                      <w:rFonts w:hint="eastAsia"/>
                      <w:sz w:val="21"/>
                      <w:szCs w:val="21"/>
                    </w:rPr>
                    <w:t>污染源</w:t>
                  </w:r>
                </w:p>
                <w:p>
                  <w:pPr>
                    <w:snapToGrid w:val="0"/>
                    <w:jc w:val="center"/>
                    <w:rPr>
                      <w:rFonts w:eastAsiaTheme="minorEastAsia"/>
                      <w:sz w:val="21"/>
                      <w:szCs w:val="21"/>
                    </w:rPr>
                  </w:pPr>
                  <w:r>
                    <w:rPr>
                      <w:rFonts w:hint="eastAsia"/>
                      <w:sz w:val="21"/>
                      <w:szCs w:val="21"/>
                    </w:rPr>
                    <w:t>调查</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调查内容</w:t>
                  </w:r>
                </w:p>
              </w:tc>
              <w:tc>
                <w:tcPr>
                  <w:tcW w:w="2409" w:type="dxa"/>
                  <w:gridSpan w:val="5"/>
                  <w:tcBorders>
                    <w:tl2br w:val="nil"/>
                    <w:tr2bl w:val="nil"/>
                  </w:tcBorders>
                  <w:vAlign w:val="center"/>
                </w:tcPr>
                <w:p>
                  <w:pPr>
                    <w:snapToGrid w:val="0"/>
                    <w:jc w:val="center"/>
                    <w:rPr>
                      <w:sz w:val="21"/>
                      <w:szCs w:val="21"/>
                    </w:rPr>
                  </w:pPr>
                  <w:r>
                    <w:rPr>
                      <w:rFonts w:hint="eastAsia"/>
                      <w:sz w:val="21"/>
                      <w:szCs w:val="21"/>
                    </w:rPr>
                    <w:t>本项目正常污染源</w:t>
                  </w:r>
                  <w:r>
                    <w:rPr>
                      <w:rFonts w:hint="eastAsia"/>
                      <w:sz w:val="21"/>
                      <w:szCs w:val="21"/>
                    </w:rPr>
                    <w:sym w:font="Wingdings 2" w:char="0052"/>
                  </w:r>
                </w:p>
                <w:p>
                  <w:pPr>
                    <w:snapToGrid w:val="0"/>
                    <w:jc w:val="center"/>
                    <w:rPr>
                      <w:sz w:val="21"/>
                      <w:szCs w:val="21"/>
                    </w:rPr>
                  </w:pPr>
                  <w:r>
                    <w:rPr>
                      <w:rFonts w:hint="eastAsia"/>
                      <w:sz w:val="21"/>
                      <w:szCs w:val="21"/>
                    </w:rPr>
                    <w:t>本项目非正常污染源</w:t>
                  </w:r>
                  <w:r>
                    <w:rPr>
                      <w:rFonts w:hint="eastAsia"/>
                      <w:sz w:val="21"/>
                      <w:szCs w:val="21"/>
                    </w:rPr>
                    <w:sym w:font="Wingdings 2" w:char="0052"/>
                  </w:r>
                </w:p>
                <w:p>
                  <w:pPr>
                    <w:snapToGrid w:val="0"/>
                    <w:jc w:val="center"/>
                    <w:rPr>
                      <w:sz w:val="21"/>
                      <w:szCs w:val="21"/>
                    </w:rPr>
                  </w:pPr>
                  <w:r>
                    <w:rPr>
                      <w:rFonts w:hint="eastAsia"/>
                      <w:sz w:val="21"/>
                      <w:szCs w:val="21"/>
                    </w:rPr>
                    <w:t>现有污染源</w:t>
                  </w:r>
                  <w:r>
                    <w:rPr>
                      <w:rFonts w:hint="eastAsia"/>
                      <w:sz w:val="21"/>
                      <w:szCs w:val="21"/>
                    </w:rPr>
                    <w:sym w:font="Wingdings 2" w:char="00A3"/>
                  </w:r>
                </w:p>
              </w:tc>
              <w:tc>
                <w:tcPr>
                  <w:tcW w:w="820" w:type="dxa"/>
                  <w:gridSpan w:val="3"/>
                  <w:tcBorders>
                    <w:tl2br w:val="nil"/>
                    <w:tr2bl w:val="nil"/>
                  </w:tcBorders>
                  <w:vAlign w:val="center"/>
                </w:tcPr>
                <w:p>
                  <w:pPr>
                    <w:snapToGrid w:val="0"/>
                    <w:jc w:val="center"/>
                    <w:rPr>
                      <w:sz w:val="21"/>
                      <w:szCs w:val="21"/>
                    </w:rPr>
                  </w:pPr>
                  <w:r>
                    <w:rPr>
                      <w:rFonts w:hint="eastAsia"/>
                      <w:sz w:val="21"/>
                      <w:szCs w:val="21"/>
                    </w:rPr>
                    <w:t>拟替代的污染源</w:t>
                  </w:r>
                  <w:r>
                    <w:rPr>
                      <w:rFonts w:hint="eastAsia"/>
                      <w:sz w:val="21"/>
                      <w:szCs w:val="21"/>
                    </w:rPr>
                    <w:sym w:font="Wingdings 2" w:char="00A3"/>
                  </w:r>
                </w:p>
              </w:tc>
              <w:tc>
                <w:tcPr>
                  <w:tcW w:w="1399" w:type="dxa"/>
                  <w:gridSpan w:val="4"/>
                  <w:tcBorders>
                    <w:tl2br w:val="nil"/>
                    <w:tr2bl w:val="nil"/>
                  </w:tcBorders>
                  <w:vAlign w:val="center"/>
                </w:tcPr>
                <w:p>
                  <w:pPr>
                    <w:snapToGrid w:val="0"/>
                    <w:jc w:val="center"/>
                    <w:rPr>
                      <w:sz w:val="21"/>
                      <w:szCs w:val="21"/>
                    </w:rPr>
                  </w:pPr>
                  <w:r>
                    <w:rPr>
                      <w:rFonts w:hint="eastAsia"/>
                      <w:sz w:val="21"/>
                      <w:szCs w:val="21"/>
                    </w:rPr>
                    <w:t>其它在建、拟建项目污染源</w:t>
                  </w:r>
                  <w:r>
                    <w:rPr>
                      <w:rFonts w:hint="eastAsia"/>
                      <w:sz w:val="21"/>
                      <w:szCs w:val="21"/>
                    </w:rPr>
                    <w:sym w:font="Wingdings 2" w:char="00A3"/>
                  </w:r>
                </w:p>
              </w:tc>
              <w:tc>
                <w:tcPr>
                  <w:tcW w:w="1661" w:type="dxa"/>
                  <w:gridSpan w:val="3"/>
                  <w:tcBorders>
                    <w:tl2br w:val="nil"/>
                    <w:tr2bl w:val="nil"/>
                  </w:tcBorders>
                  <w:vAlign w:val="center"/>
                </w:tcPr>
                <w:p>
                  <w:pPr>
                    <w:snapToGrid w:val="0"/>
                    <w:jc w:val="center"/>
                    <w:rPr>
                      <w:sz w:val="21"/>
                      <w:szCs w:val="21"/>
                    </w:rPr>
                  </w:pPr>
                  <w:r>
                    <w:rPr>
                      <w:rFonts w:hint="eastAsia"/>
                      <w:sz w:val="21"/>
                      <w:szCs w:val="21"/>
                    </w:rPr>
                    <w:t>区域污染源</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965" w:type="dxa"/>
                  <w:vMerge w:val="restart"/>
                  <w:tcBorders>
                    <w:tl2br w:val="nil"/>
                    <w:tr2bl w:val="nil"/>
                  </w:tcBorders>
                  <w:vAlign w:val="center"/>
                </w:tcPr>
                <w:p>
                  <w:pPr>
                    <w:snapToGrid w:val="0"/>
                    <w:jc w:val="center"/>
                    <w:rPr>
                      <w:rFonts w:eastAsiaTheme="minorEastAsia"/>
                      <w:sz w:val="21"/>
                      <w:szCs w:val="21"/>
                    </w:rPr>
                  </w:pPr>
                  <w:r>
                    <w:rPr>
                      <w:rFonts w:hint="eastAsia"/>
                      <w:sz w:val="21"/>
                      <w:szCs w:val="21"/>
                    </w:rPr>
                    <w:t>大气环境影响预测与评价（本项目无进一步预测）</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预测模型</w:t>
                  </w:r>
                </w:p>
              </w:tc>
              <w:tc>
                <w:tcPr>
                  <w:tcW w:w="898" w:type="dxa"/>
                  <w:tcBorders>
                    <w:tl2br w:val="nil"/>
                    <w:tr2bl w:val="nil"/>
                  </w:tcBorders>
                  <w:vAlign w:val="center"/>
                </w:tcPr>
                <w:p>
                  <w:pPr>
                    <w:snapToGrid w:val="0"/>
                    <w:jc w:val="center"/>
                    <w:rPr>
                      <w:rFonts w:eastAsiaTheme="minorEastAsia"/>
                      <w:sz w:val="21"/>
                      <w:szCs w:val="21"/>
                    </w:rPr>
                  </w:pPr>
                  <w:r>
                    <w:rPr>
                      <w:rFonts w:hint="eastAsia"/>
                      <w:sz w:val="21"/>
                      <w:szCs w:val="21"/>
                    </w:rPr>
                    <w:t>AERMOD</w:t>
                  </w:r>
                  <w:r>
                    <w:rPr>
                      <w:rFonts w:hint="eastAsia"/>
                      <w:sz w:val="21"/>
                      <w:szCs w:val="21"/>
                    </w:rPr>
                    <w:sym w:font="Wingdings 2" w:char="00A3"/>
                  </w:r>
                </w:p>
              </w:tc>
              <w:tc>
                <w:tcPr>
                  <w:tcW w:w="898" w:type="dxa"/>
                  <w:gridSpan w:val="3"/>
                  <w:tcBorders>
                    <w:tl2br w:val="nil"/>
                    <w:tr2bl w:val="nil"/>
                  </w:tcBorders>
                  <w:vAlign w:val="center"/>
                </w:tcPr>
                <w:p>
                  <w:pPr>
                    <w:snapToGrid w:val="0"/>
                    <w:jc w:val="center"/>
                    <w:rPr>
                      <w:rFonts w:eastAsiaTheme="minorEastAsia"/>
                      <w:sz w:val="21"/>
                      <w:szCs w:val="21"/>
                    </w:rPr>
                  </w:pPr>
                  <w:r>
                    <w:rPr>
                      <w:rFonts w:hint="eastAsia"/>
                      <w:sz w:val="21"/>
                      <w:szCs w:val="21"/>
                    </w:rPr>
                    <w:t>ADMS</w:t>
                  </w:r>
                  <w:r>
                    <w:rPr>
                      <w:rFonts w:hint="eastAsia"/>
                      <w:sz w:val="21"/>
                      <w:szCs w:val="21"/>
                    </w:rPr>
                    <w:sym w:font="Wingdings 2" w:char="00A3"/>
                  </w:r>
                </w:p>
              </w:tc>
              <w:tc>
                <w:tcPr>
                  <w:tcW w:w="898" w:type="dxa"/>
                  <w:gridSpan w:val="2"/>
                  <w:tcBorders>
                    <w:tl2br w:val="nil"/>
                    <w:tr2bl w:val="nil"/>
                  </w:tcBorders>
                  <w:vAlign w:val="center"/>
                </w:tcPr>
                <w:p>
                  <w:pPr>
                    <w:snapToGrid w:val="0"/>
                    <w:jc w:val="center"/>
                    <w:rPr>
                      <w:rFonts w:eastAsiaTheme="minorEastAsia"/>
                      <w:sz w:val="21"/>
                      <w:szCs w:val="21"/>
                    </w:rPr>
                  </w:pPr>
                  <w:r>
                    <w:rPr>
                      <w:rFonts w:hint="eastAsia"/>
                      <w:sz w:val="21"/>
                      <w:szCs w:val="21"/>
                    </w:rPr>
                    <w:t>AUSTAL2000</w:t>
                  </w:r>
                  <w:r>
                    <w:rPr>
                      <w:rFonts w:hint="eastAsia"/>
                      <w:sz w:val="21"/>
                      <w:szCs w:val="21"/>
                    </w:rPr>
                    <w:sym w:font="Wingdings 2" w:char="00A3"/>
                  </w:r>
                </w:p>
              </w:tc>
              <w:tc>
                <w:tcPr>
                  <w:tcW w:w="898" w:type="dxa"/>
                  <w:gridSpan w:val="3"/>
                  <w:tcBorders>
                    <w:tl2br w:val="nil"/>
                    <w:tr2bl w:val="nil"/>
                  </w:tcBorders>
                  <w:vAlign w:val="center"/>
                </w:tcPr>
                <w:p>
                  <w:pPr>
                    <w:snapToGrid w:val="0"/>
                    <w:jc w:val="center"/>
                    <w:rPr>
                      <w:rFonts w:eastAsiaTheme="minorEastAsia"/>
                      <w:sz w:val="21"/>
                      <w:szCs w:val="21"/>
                    </w:rPr>
                  </w:pPr>
                  <w:r>
                    <w:rPr>
                      <w:rFonts w:hint="eastAsia"/>
                      <w:sz w:val="21"/>
                      <w:szCs w:val="21"/>
                    </w:rPr>
                    <w:t>EDMS/AEDT</w:t>
                  </w:r>
                  <w:r>
                    <w:rPr>
                      <w:rFonts w:hint="eastAsia"/>
                      <w:sz w:val="21"/>
                      <w:szCs w:val="21"/>
                    </w:rPr>
                    <w:sym w:font="Wingdings 2" w:char="00A3"/>
                  </w:r>
                </w:p>
              </w:tc>
              <w:tc>
                <w:tcPr>
                  <w:tcW w:w="897" w:type="dxa"/>
                  <w:gridSpan w:val="2"/>
                  <w:tcBorders>
                    <w:tl2br w:val="nil"/>
                    <w:tr2bl w:val="nil"/>
                  </w:tcBorders>
                  <w:vAlign w:val="center"/>
                </w:tcPr>
                <w:p>
                  <w:pPr>
                    <w:snapToGrid w:val="0"/>
                    <w:jc w:val="center"/>
                    <w:rPr>
                      <w:rFonts w:eastAsiaTheme="minorEastAsia"/>
                      <w:sz w:val="21"/>
                      <w:szCs w:val="21"/>
                    </w:rPr>
                  </w:pPr>
                  <w:r>
                    <w:rPr>
                      <w:rFonts w:hint="eastAsia"/>
                      <w:sz w:val="21"/>
                      <w:szCs w:val="21"/>
                    </w:rPr>
                    <w:t>CALPUFF</w:t>
                  </w:r>
                  <w:r>
                    <w:rPr>
                      <w:rFonts w:hint="eastAsia"/>
                      <w:sz w:val="21"/>
                      <w:szCs w:val="21"/>
                    </w:rPr>
                    <w:sym w:font="Wingdings 2" w:char="00A3"/>
                  </w:r>
                </w:p>
              </w:tc>
              <w:tc>
                <w:tcPr>
                  <w:tcW w:w="899" w:type="dxa"/>
                  <w:gridSpan w:val="3"/>
                  <w:tcBorders>
                    <w:tl2br w:val="nil"/>
                    <w:tr2bl w:val="nil"/>
                  </w:tcBorders>
                  <w:vAlign w:val="center"/>
                </w:tcPr>
                <w:p>
                  <w:pPr>
                    <w:snapToGrid w:val="0"/>
                    <w:rPr>
                      <w:rFonts w:eastAsiaTheme="minorEastAsia"/>
                      <w:sz w:val="21"/>
                      <w:szCs w:val="21"/>
                    </w:rPr>
                  </w:pPr>
                  <w:r>
                    <w:rPr>
                      <w:rFonts w:hint="eastAsia"/>
                      <w:sz w:val="21"/>
                      <w:szCs w:val="21"/>
                    </w:rPr>
                    <w:t>网格模型</w:t>
                  </w:r>
                  <w:r>
                    <w:rPr>
                      <w:rFonts w:hint="eastAsia"/>
                      <w:sz w:val="21"/>
                      <w:szCs w:val="21"/>
                    </w:rPr>
                    <w:sym w:font="Wingdings 2" w:char="00A3"/>
                  </w:r>
                </w:p>
              </w:tc>
              <w:tc>
                <w:tcPr>
                  <w:tcW w:w="901" w:type="dxa"/>
                  <w:tcBorders>
                    <w:tl2br w:val="nil"/>
                    <w:tr2bl w:val="nil"/>
                  </w:tcBorders>
                  <w:vAlign w:val="center"/>
                </w:tcPr>
                <w:p>
                  <w:pPr>
                    <w:snapToGrid w:val="0"/>
                    <w:jc w:val="center"/>
                    <w:rPr>
                      <w:rFonts w:eastAsiaTheme="minorEastAsia"/>
                      <w:sz w:val="21"/>
                      <w:szCs w:val="21"/>
                    </w:rPr>
                  </w:pPr>
                  <w:r>
                    <w:rPr>
                      <w:rFonts w:hint="eastAsia"/>
                      <w:sz w:val="21"/>
                      <w:szCs w:val="21"/>
                    </w:rPr>
                    <w:t>其它</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预测范围</w:t>
                  </w:r>
                </w:p>
              </w:tc>
              <w:tc>
                <w:tcPr>
                  <w:tcW w:w="2409" w:type="dxa"/>
                  <w:gridSpan w:val="5"/>
                  <w:tcBorders>
                    <w:tl2br w:val="nil"/>
                    <w:tr2bl w:val="nil"/>
                  </w:tcBorders>
                  <w:vAlign w:val="center"/>
                </w:tcPr>
                <w:p>
                  <w:pPr>
                    <w:snapToGrid w:val="0"/>
                    <w:jc w:val="center"/>
                    <w:rPr>
                      <w:sz w:val="21"/>
                      <w:szCs w:val="21"/>
                    </w:rPr>
                  </w:pPr>
                  <w:r>
                    <w:rPr>
                      <w:rFonts w:hint="eastAsia"/>
                      <w:sz w:val="21"/>
                      <w:szCs w:val="21"/>
                    </w:rPr>
                    <w:t>边长=50km</w:t>
                  </w:r>
                  <w:r>
                    <w:rPr>
                      <w:rFonts w:hint="eastAsia"/>
                      <w:sz w:val="21"/>
                      <w:szCs w:val="21"/>
                    </w:rPr>
                    <w:sym w:font="Wingdings 2" w:char="00A3"/>
                  </w:r>
                </w:p>
              </w:tc>
              <w:tc>
                <w:tcPr>
                  <w:tcW w:w="1894" w:type="dxa"/>
                  <w:gridSpan w:val="5"/>
                  <w:tcBorders>
                    <w:tl2br w:val="nil"/>
                    <w:tr2bl w:val="nil"/>
                  </w:tcBorders>
                  <w:vAlign w:val="center"/>
                </w:tcPr>
                <w:p>
                  <w:pPr>
                    <w:snapToGrid w:val="0"/>
                    <w:jc w:val="center"/>
                    <w:rPr>
                      <w:sz w:val="21"/>
                      <w:szCs w:val="21"/>
                    </w:rPr>
                  </w:pPr>
                  <w:r>
                    <w:rPr>
                      <w:rFonts w:hint="eastAsia"/>
                      <w:sz w:val="21"/>
                      <w:szCs w:val="21"/>
                    </w:rPr>
                    <w:t>边长5~50km</w:t>
                  </w:r>
                  <w:r>
                    <w:rPr>
                      <w:rFonts w:hint="eastAsia"/>
                      <w:sz w:val="21"/>
                      <w:szCs w:val="21"/>
                    </w:rPr>
                    <w:sym w:font="Wingdings 2" w:char="00A3"/>
                  </w:r>
                </w:p>
              </w:tc>
              <w:tc>
                <w:tcPr>
                  <w:tcW w:w="1986" w:type="dxa"/>
                  <w:gridSpan w:val="5"/>
                  <w:tcBorders>
                    <w:tl2br w:val="nil"/>
                    <w:tr2bl w:val="nil"/>
                  </w:tcBorders>
                  <w:vAlign w:val="center"/>
                </w:tcPr>
                <w:p>
                  <w:pPr>
                    <w:snapToGrid w:val="0"/>
                    <w:jc w:val="center"/>
                    <w:rPr>
                      <w:sz w:val="21"/>
                      <w:szCs w:val="21"/>
                    </w:rPr>
                  </w:pPr>
                  <w:r>
                    <w:rPr>
                      <w:rFonts w:hint="eastAsia"/>
                      <w:sz w:val="21"/>
                      <w:szCs w:val="21"/>
                    </w:rPr>
                    <w:t>边长=5km</w:t>
                  </w:r>
                  <w:r>
                    <w:rPr>
                      <w:rFonts w:hint="eastAsia"/>
                      <w:sz w:val="21"/>
                      <w:szCs w:val="21"/>
                    </w:rPr>
                    <w:sym w:font="Wingdings 2" w:char="0052"/>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预测因子</w:t>
                  </w:r>
                </w:p>
              </w:tc>
              <w:tc>
                <w:tcPr>
                  <w:tcW w:w="3144" w:type="dxa"/>
                  <w:gridSpan w:val="7"/>
                  <w:tcBorders>
                    <w:tl2br w:val="nil"/>
                    <w:tr2bl w:val="nil"/>
                  </w:tcBorders>
                  <w:vAlign w:val="center"/>
                </w:tcPr>
                <w:p>
                  <w:pPr>
                    <w:snapToGrid w:val="0"/>
                    <w:jc w:val="center"/>
                    <w:rPr>
                      <w:rFonts w:eastAsiaTheme="minorEastAsia"/>
                      <w:sz w:val="21"/>
                      <w:szCs w:val="21"/>
                    </w:rPr>
                  </w:pPr>
                  <w:r>
                    <w:rPr>
                      <w:rFonts w:hint="eastAsia"/>
                      <w:sz w:val="21"/>
                      <w:szCs w:val="21"/>
                    </w:rPr>
                    <w:t>预测因子（      ）</w:t>
                  </w:r>
                </w:p>
              </w:tc>
              <w:tc>
                <w:tcPr>
                  <w:tcW w:w="3145" w:type="dxa"/>
                  <w:gridSpan w:val="8"/>
                  <w:tcBorders>
                    <w:tl2br w:val="nil"/>
                    <w:tr2bl w:val="nil"/>
                  </w:tcBorders>
                  <w:vAlign w:val="center"/>
                </w:tcPr>
                <w:p>
                  <w:pPr>
                    <w:snapToGrid w:val="0"/>
                    <w:jc w:val="center"/>
                    <w:rPr>
                      <w:sz w:val="21"/>
                      <w:szCs w:val="21"/>
                    </w:rPr>
                  </w:pPr>
                  <w:r>
                    <w:rPr>
                      <w:rFonts w:hint="eastAsia"/>
                      <w:sz w:val="21"/>
                      <w:szCs w:val="21"/>
                    </w:rPr>
                    <w:t xml:space="preserve">包括二次PM2.5  </w:t>
                  </w:r>
                  <w:r>
                    <w:rPr>
                      <w:rFonts w:hint="eastAsia"/>
                      <w:sz w:val="21"/>
                      <w:szCs w:val="21"/>
                    </w:rPr>
                    <w:sym w:font="Wingdings 2" w:char="00A3"/>
                  </w:r>
                </w:p>
                <w:p>
                  <w:pPr>
                    <w:snapToGrid w:val="0"/>
                    <w:jc w:val="center"/>
                    <w:rPr>
                      <w:sz w:val="21"/>
                      <w:szCs w:val="21"/>
                    </w:rPr>
                  </w:pPr>
                  <w:r>
                    <w:rPr>
                      <w:rFonts w:hint="eastAsia"/>
                      <w:sz w:val="21"/>
                      <w:szCs w:val="21"/>
                    </w:rPr>
                    <w:t>不包括二次PM2.5</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 xml:space="preserve">正常排放短期浓度贡献值 </w:t>
                  </w:r>
                </w:p>
              </w:tc>
              <w:tc>
                <w:tcPr>
                  <w:tcW w:w="3144" w:type="dxa"/>
                  <w:gridSpan w:val="7"/>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本项目</w:t>
                  </w:r>
                  <w:r>
                    <w:rPr>
                      <w:rFonts w:hint="eastAsia"/>
                      <w:sz w:val="21"/>
                      <w:szCs w:val="21"/>
                    </w:rPr>
                    <w:t>最大占标率≤100%</w:t>
                  </w:r>
                  <w:r>
                    <w:rPr>
                      <w:rFonts w:hint="eastAsia"/>
                      <w:sz w:val="21"/>
                      <w:szCs w:val="21"/>
                    </w:rPr>
                    <w:sym w:font="Wingdings 2" w:char="00A3"/>
                  </w:r>
                </w:p>
              </w:tc>
              <w:tc>
                <w:tcPr>
                  <w:tcW w:w="3145" w:type="dxa"/>
                  <w:gridSpan w:val="8"/>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本项目</w:t>
                  </w:r>
                  <w:r>
                    <w:rPr>
                      <w:rFonts w:hint="eastAsia"/>
                      <w:sz w:val="21"/>
                      <w:szCs w:val="21"/>
                    </w:rPr>
                    <w:t>最大占标率&gt;100%</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vMerge w:val="restart"/>
                  <w:tcBorders>
                    <w:tl2br w:val="nil"/>
                    <w:tr2bl w:val="nil"/>
                  </w:tcBorders>
                  <w:vAlign w:val="center"/>
                </w:tcPr>
                <w:p>
                  <w:pPr>
                    <w:snapToGrid w:val="0"/>
                    <w:jc w:val="center"/>
                    <w:rPr>
                      <w:rFonts w:eastAsiaTheme="minorEastAsia"/>
                      <w:sz w:val="21"/>
                      <w:szCs w:val="21"/>
                    </w:rPr>
                  </w:pPr>
                  <w:r>
                    <w:rPr>
                      <w:rFonts w:hint="eastAsia"/>
                      <w:sz w:val="21"/>
                      <w:szCs w:val="21"/>
                    </w:rPr>
                    <w:t>正常排放年均浓度贡献值</w:t>
                  </w:r>
                </w:p>
              </w:tc>
              <w:tc>
                <w:tcPr>
                  <w:tcW w:w="957" w:type="dxa"/>
                  <w:gridSpan w:val="2"/>
                  <w:tcBorders>
                    <w:tl2br w:val="nil"/>
                    <w:tr2bl w:val="nil"/>
                  </w:tcBorders>
                  <w:vAlign w:val="center"/>
                </w:tcPr>
                <w:p>
                  <w:pPr>
                    <w:snapToGrid w:val="0"/>
                    <w:jc w:val="center"/>
                    <w:rPr>
                      <w:rFonts w:eastAsiaTheme="minorEastAsia"/>
                      <w:sz w:val="21"/>
                      <w:szCs w:val="21"/>
                    </w:rPr>
                  </w:pPr>
                  <w:r>
                    <w:rPr>
                      <w:rFonts w:hint="eastAsia"/>
                      <w:sz w:val="21"/>
                      <w:szCs w:val="21"/>
                    </w:rPr>
                    <w:t>一类区</w:t>
                  </w:r>
                </w:p>
              </w:tc>
              <w:tc>
                <w:tcPr>
                  <w:tcW w:w="2187" w:type="dxa"/>
                  <w:gridSpan w:val="5"/>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本项目</w:t>
                  </w:r>
                  <w:r>
                    <w:rPr>
                      <w:rFonts w:hint="eastAsia"/>
                      <w:sz w:val="21"/>
                      <w:szCs w:val="21"/>
                    </w:rPr>
                    <w:t>最大占标率≤10%</w:t>
                  </w:r>
                  <w:r>
                    <w:rPr>
                      <w:rFonts w:hint="eastAsia"/>
                      <w:sz w:val="21"/>
                      <w:szCs w:val="21"/>
                    </w:rPr>
                    <w:sym w:font="Wingdings 2" w:char="00A3"/>
                  </w:r>
                </w:p>
              </w:tc>
              <w:tc>
                <w:tcPr>
                  <w:tcW w:w="3145" w:type="dxa"/>
                  <w:gridSpan w:val="8"/>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本项目</w:t>
                  </w:r>
                  <w:r>
                    <w:rPr>
                      <w:rFonts w:hint="eastAsia"/>
                      <w:sz w:val="21"/>
                      <w:szCs w:val="21"/>
                    </w:rPr>
                    <w:t>最大占标率&gt;10%</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65" w:type="dxa"/>
                  <w:vMerge w:val="continue"/>
                  <w:tcBorders>
                    <w:tl2br w:val="nil"/>
                    <w:tr2bl w:val="nil"/>
                  </w:tcBorders>
                  <w:vAlign w:val="center"/>
                </w:tcPr>
                <w:p>
                  <w:pPr>
                    <w:snapToGrid w:val="0"/>
                    <w:jc w:val="center"/>
                  </w:pPr>
                </w:p>
              </w:tc>
              <w:tc>
                <w:tcPr>
                  <w:tcW w:w="1406" w:type="dxa"/>
                  <w:vMerge w:val="continue"/>
                  <w:tcBorders>
                    <w:tl2br w:val="nil"/>
                    <w:tr2bl w:val="nil"/>
                  </w:tcBorders>
                  <w:vAlign w:val="center"/>
                </w:tcPr>
                <w:p>
                  <w:pPr>
                    <w:snapToGrid w:val="0"/>
                    <w:jc w:val="center"/>
                  </w:pPr>
                </w:p>
              </w:tc>
              <w:tc>
                <w:tcPr>
                  <w:tcW w:w="957" w:type="dxa"/>
                  <w:gridSpan w:val="2"/>
                  <w:tcBorders>
                    <w:tl2br w:val="nil"/>
                    <w:tr2bl w:val="nil"/>
                  </w:tcBorders>
                  <w:vAlign w:val="center"/>
                </w:tcPr>
                <w:p>
                  <w:pPr>
                    <w:snapToGrid w:val="0"/>
                    <w:jc w:val="center"/>
                    <w:rPr>
                      <w:rFonts w:eastAsiaTheme="minorEastAsia"/>
                      <w:sz w:val="21"/>
                      <w:szCs w:val="21"/>
                    </w:rPr>
                  </w:pPr>
                  <w:r>
                    <w:rPr>
                      <w:rFonts w:hint="eastAsia"/>
                      <w:sz w:val="21"/>
                      <w:szCs w:val="21"/>
                    </w:rPr>
                    <w:t>二类区</w:t>
                  </w:r>
                </w:p>
              </w:tc>
              <w:tc>
                <w:tcPr>
                  <w:tcW w:w="2187" w:type="dxa"/>
                  <w:gridSpan w:val="5"/>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本项目</w:t>
                  </w:r>
                  <w:r>
                    <w:rPr>
                      <w:rFonts w:hint="eastAsia"/>
                      <w:sz w:val="21"/>
                      <w:szCs w:val="21"/>
                    </w:rPr>
                    <w:t>最大占标率≤30%</w:t>
                  </w:r>
                  <w:r>
                    <w:rPr>
                      <w:rFonts w:hint="eastAsia"/>
                      <w:sz w:val="21"/>
                      <w:szCs w:val="21"/>
                    </w:rPr>
                    <w:sym w:font="Wingdings 2" w:char="00A3"/>
                  </w:r>
                </w:p>
              </w:tc>
              <w:tc>
                <w:tcPr>
                  <w:tcW w:w="3145" w:type="dxa"/>
                  <w:gridSpan w:val="8"/>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本项目</w:t>
                  </w:r>
                  <w:r>
                    <w:rPr>
                      <w:rFonts w:hint="eastAsia"/>
                      <w:sz w:val="21"/>
                      <w:szCs w:val="21"/>
                    </w:rPr>
                    <w:t>最大占标率&gt;30%</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 xml:space="preserve">非正常排放1h浓度贡献值 </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非正常持续时长（ ）h</w:t>
                  </w:r>
                </w:p>
              </w:tc>
              <w:tc>
                <w:tcPr>
                  <w:tcW w:w="1894" w:type="dxa"/>
                  <w:gridSpan w:val="5"/>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非正常</w:t>
                  </w:r>
                  <w:r>
                    <w:rPr>
                      <w:rFonts w:hint="eastAsia"/>
                      <w:sz w:val="21"/>
                      <w:szCs w:val="21"/>
                    </w:rPr>
                    <w:t>最大占标率≤100%</w:t>
                  </w:r>
                  <w:r>
                    <w:rPr>
                      <w:rFonts w:hint="eastAsia"/>
                      <w:sz w:val="21"/>
                      <w:szCs w:val="21"/>
                    </w:rPr>
                    <w:sym w:font="Wingdings 2" w:char="00A3"/>
                  </w:r>
                </w:p>
              </w:tc>
              <w:tc>
                <w:tcPr>
                  <w:tcW w:w="1986" w:type="dxa"/>
                  <w:gridSpan w:val="5"/>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非正常</w:t>
                  </w:r>
                  <w:r>
                    <w:rPr>
                      <w:rFonts w:hint="eastAsia"/>
                      <w:sz w:val="21"/>
                      <w:szCs w:val="21"/>
                    </w:rPr>
                    <w:t>最大占标率&gt;100%</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保证率日平均浓度和年平均浓度叠加值</w:t>
                  </w:r>
                </w:p>
              </w:tc>
              <w:tc>
                <w:tcPr>
                  <w:tcW w:w="3144" w:type="dxa"/>
                  <w:gridSpan w:val="7"/>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叠加</w:t>
                  </w:r>
                  <w:r>
                    <w:rPr>
                      <w:rFonts w:hint="eastAsia"/>
                      <w:sz w:val="21"/>
                      <w:szCs w:val="21"/>
                    </w:rPr>
                    <w:t>达标</w:t>
                  </w:r>
                  <w:r>
                    <w:rPr>
                      <w:rFonts w:hint="eastAsia"/>
                      <w:sz w:val="21"/>
                      <w:szCs w:val="21"/>
                    </w:rPr>
                    <w:sym w:font="Wingdings 2" w:char="00A3"/>
                  </w:r>
                </w:p>
              </w:tc>
              <w:tc>
                <w:tcPr>
                  <w:tcW w:w="3145" w:type="dxa"/>
                  <w:gridSpan w:val="8"/>
                  <w:tcBorders>
                    <w:tl2br w:val="nil"/>
                    <w:tr2bl w:val="nil"/>
                  </w:tcBorders>
                  <w:vAlign w:val="center"/>
                </w:tcPr>
                <w:p>
                  <w:pPr>
                    <w:snapToGrid w:val="0"/>
                    <w:jc w:val="center"/>
                    <w:rPr>
                      <w:sz w:val="21"/>
                      <w:szCs w:val="21"/>
                    </w:rPr>
                  </w:pPr>
                  <w:r>
                    <w:rPr>
                      <w:rFonts w:hint="eastAsia"/>
                      <w:sz w:val="21"/>
                      <w:szCs w:val="21"/>
                    </w:rPr>
                    <w:t>c</w:t>
                  </w:r>
                  <w:r>
                    <w:rPr>
                      <w:rFonts w:hint="eastAsia"/>
                      <w:sz w:val="21"/>
                      <w:szCs w:val="21"/>
                      <w:vertAlign w:val="subscript"/>
                    </w:rPr>
                    <w:t>叠加</w:t>
                  </w:r>
                  <w:r>
                    <w:rPr>
                      <w:rFonts w:hint="eastAsia"/>
                      <w:sz w:val="21"/>
                      <w:szCs w:val="21"/>
                    </w:rPr>
                    <w:t>不达标</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区域环境质量的整体变化情况</w:t>
                  </w:r>
                </w:p>
              </w:tc>
              <w:tc>
                <w:tcPr>
                  <w:tcW w:w="3144" w:type="dxa"/>
                  <w:gridSpan w:val="7"/>
                  <w:tcBorders>
                    <w:tl2br w:val="nil"/>
                    <w:tr2bl w:val="nil"/>
                  </w:tcBorders>
                  <w:vAlign w:val="center"/>
                </w:tcPr>
                <w:p>
                  <w:pPr>
                    <w:snapToGrid w:val="0"/>
                    <w:jc w:val="center"/>
                    <w:rPr>
                      <w:sz w:val="21"/>
                      <w:szCs w:val="21"/>
                    </w:rPr>
                  </w:pPr>
                  <w:r>
                    <w:rPr>
                      <w:rFonts w:hint="eastAsia"/>
                      <w:sz w:val="21"/>
                      <w:szCs w:val="21"/>
                    </w:rPr>
                    <w:t>k≤-20%</w:t>
                  </w:r>
                  <w:r>
                    <w:rPr>
                      <w:rFonts w:hint="eastAsia"/>
                      <w:sz w:val="21"/>
                      <w:szCs w:val="21"/>
                    </w:rPr>
                    <w:sym w:font="Wingdings 2" w:char="00A3"/>
                  </w:r>
                </w:p>
              </w:tc>
              <w:tc>
                <w:tcPr>
                  <w:tcW w:w="3145" w:type="dxa"/>
                  <w:gridSpan w:val="8"/>
                  <w:tcBorders>
                    <w:tl2br w:val="nil"/>
                    <w:tr2bl w:val="nil"/>
                  </w:tcBorders>
                  <w:vAlign w:val="center"/>
                </w:tcPr>
                <w:p>
                  <w:pPr>
                    <w:snapToGrid w:val="0"/>
                    <w:jc w:val="center"/>
                    <w:rPr>
                      <w:sz w:val="21"/>
                      <w:szCs w:val="21"/>
                    </w:rPr>
                  </w:pPr>
                  <w:r>
                    <w:rPr>
                      <w:rFonts w:hint="eastAsia"/>
                      <w:sz w:val="21"/>
                      <w:szCs w:val="21"/>
                    </w:rPr>
                    <w:t>K&gt;-20%</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965" w:type="dxa"/>
                  <w:vMerge w:val="restart"/>
                  <w:tcBorders>
                    <w:tl2br w:val="nil"/>
                    <w:tr2bl w:val="nil"/>
                  </w:tcBorders>
                  <w:vAlign w:val="center"/>
                </w:tcPr>
                <w:p>
                  <w:pPr>
                    <w:snapToGrid w:val="0"/>
                    <w:jc w:val="center"/>
                    <w:rPr>
                      <w:rFonts w:eastAsiaTheme="minorEastAsia"/>
                      <w:sz w:val="21"/>
                      <w:szCs w:val="21"/>
                    </w:rPr>
                  </w:pPr>
                  <w:r>
                    <w:rPr>
                      <w:rFonts w:hint="eastAsia"/>
                      <w:sz w:val="21"/>
                      <w:szCs w:val="21"/>
                    </w:rPr>
                    <w:t>环境监测计划</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污染源监测</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监测因子：（颗粒物、非甲烷总烃）</w:t>
                  </w:r>
                </w:p>
              </w:tc>
              <w:tc>
                <w:tcPr>
                  <w:tcW w:w="1894" w:type="dxa"/>
                  <w:gridSpan w:val="5"/>
                  <w:tcBorders>
                    <w:tl2br w:val="nil"/>
                    <w:tr2bl w:val="nil"/>
                  </w:tcBorders>
                  <w:vAlign w:val="center"/>
                </w:tcPr>
                <w:p>
                  <w:pPr>
                    <w:snapToGrid w:val="0"/>
                    <w:jc w:val="center"/>
                    <w:rPr>
                      <w:sz w:val="21"/>
                      <w:szCs w:val="21"/>
                    </w:rPr>
                  </w:pPr>
                  <w:r>
                    <w:rPr>
                      <w:rFonts w:hint="eastAsia"/>
                      <w:sz w:val="21"/>
                      <w:szCs w:val="21"/>
                    </w:rPr>
                    <w:t>有组织废气监测</w:t>
                  </w:r>
                  <w:r>
                    <w:rPr>
                      <w:rFonts w:hint="eastAsia"/>
                      <w:sz w:val="21"/>
                      <w:szCs w:val="21"/>
                    </w:rPr>
                    <w:sym w:font="Wingdings 2" w:char="0052"/>
                  </w:r>
                </w:p>
                <w:p>
                  <w:pPr>
                    <w:snapToGrid w:val="0"/>
                    <w:jc w:val="center"/>
                    <w:rPr>
                      <w:sz w:val="21"/>
                      <w:szCs w:val="21"/>
                    </w:rPr>
                  </w:pPr>
                  <w:r>
                    <w:rPr>
                      <w:rFonts w:hint="eastAsia"/>
                      <w:sz w:val="21"/>
                      <w:szCs w:val="21"/>
                    </w:rPr>
                    <w:t>无组织废气监测</w:t>
                  </w:r>
                  <w:r>
                    <w:rPr>
                      <w:rFonts w:hint="eastAsia"/>
                      <w:sz w:val="21"/>
                      <w:szCs w:val="21"/>
                    </w:rPr>
                    <w:sym w:font="Wingdings 2" w:char="0052"/>
                  </w:r>
                </w:p>
              </w:tc>
              <w:tc>
                <w:tcPr>
                  <w:tcW w:w="1986"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无监测</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环境质量监测</w:t>
                  </w:r>
                </w:p>
              </w:tc>
              <w:tc>
                <w:tcPr>
                  <w:tcW w:w="2409"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监测因子：（  ）</w:t>
                  </w:r>
                </w:p>
              </w:tc>
              <w:tc>
                <w:tcPr>
                  <w:tcW w:w="1894" w:type="dxa"/>
                  <w:gridSpan w:val="5"/>
                  <w:tcBorders>
                    <w:tl2br w:val="nil"/>
                    <w:tr2bl w:val="nil"/>
                  </w:tcBorders>
                  <w:vAlign w:val="center"/>
                </w:tcPr>
                <w:p>
                  <w:pPr>
                    <w:snapToGrid w:val="0"/>
                    <w:jc w:val="center"/>
                    <w:rPr>
                      <w:rFonts w:eastAsiaTheme="minorEastAsia"/>
                      <w:sz w:val="21"/>
                      <w:szCs w:val="21"/>
                    </w:rPr>
                  </w:pPr>
                  <w:r>
                    <w:rPr>
                      <w:rFonts w:hint="eastAsia"/>
                      <w:sz w:val="21"/>
                      <w:szCs w:val="21"/>
                    </w:rPr>
                    <w:t>监测点位数（ ）</w:t>
                  </w:r>
                </w:p>
              </w:tc>
              <w:tc>
                <w:tcPr>
                  <w:tcW w:w="1986" w:type="dxa"/>
                  <w:gridSpan w:val="5"/>
                  <w:tcBorders>
                    <w:tl2br w:val="nil"/>
                    <w:tr2bl w:val="nil"/>
                  </w:tcBorders>
                  <w:vAlign w:val="center"/>
                </w:tcPr>
                <w:p>
                  <w:pPr>
                    <w:snapToGrid w:val="0"/>
                    <w:jc w:val="center"/>
                    <w:rPr>
                      <w:sz w:val="21"/>
                      <w:szCs w:val="21"/>
                    </w:rPr>
                  </w:pPr>
                  <w:r>
                    <w:rPr>
                      <w:rFonts w:hint="eastAsia"/>
                      <w:sz w:val="21"/>
                      <w:szCs w:val="21"/>
                    </w:rPr>
                    <w:t>无监测</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65" w:type="dxa"/>
                  <w:vMerge w:val="restart"/>
                  <w:tcBorders>
                    <w:tl2br w:val="nil"/>
                    <w:tr2bl w:val="nil"/>
                  </w:tcBorders>
                  <w:vAlign w:val="center"/>
                </w:tcPr>
                <w:p>
                  <w:pPr>
                    <w:snapToGrid w:val="0"/>
                    <w:jc w:val="center"/>
                    <w:rPr>
                      <w:rFonts w:eastAsiaTheme="minorEastAsia"/>
                      <w:sz w:val="21"/>
                      <w:szCs w:val="21"/>
                    </w:rPr>
                  </w:pPr>
                  <w:r>
                    <w:rPr>
                      <w:rFonts w:hint="eastAsia"/>
                      <w:sz w:val="21"/>
                      <w:szCs w:val="21"/>
                    </w:rPr>
                    <w:t>评价结论</w:t>
                  </w: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环境影响</w:t>
                  </w:r>
                </w:p>
              </w:tc>
              <w:tc>
                <w:tcPr>
                  <w:tcW w:w="6289" w:type="dxa"/>
                  <w:gridSpan w:val="15"/>
                  <w:tcBorders>
                    <w:tl2br w:val="nil"/>
                    <w:tr2bl w:val="nil"/>
                  </w:tcBorders>
                  <w:vAlign w:val="center"/>
                </w:tcPr>
                <w:p>
                  <w:pPr>
                    <w:snapToGrid w:val="0"/>
                    <w:jc w:val="center"/>
                    <w:rPr>
                      <w:rFonts w:eastAsiaTheme="minorEastAsia"/>
                      <w:sz w:val="21"/>
                      <w:szCs w:val="21"/>
                    </w:rPr>
                  </w:pPr>
                  <w:r>
                    <w:rPr>
                      <w:rFonts w:hint="eastAsia"/>
                      <w:sz w:val="21"/>
                      <w:szCs w:val="21"/>
                    </w:rPr>
                    <w:t>可以接受</w:t>
                  </w:r>
                  <w:r>
                    <w:rPr>
                      <w:rFonts w:hint="eastAsia"/>
                      <w:sz w:val="21"/>
                      <w:szCs w:val="21"/>
                    </w:rPr>
                    <w:sym w:font="Wingdings 2" w:char="0052"/>
                  </w:r>
                  <w:r>
                    <w:rPr>
                      <w:rFonts w:hint="eastAsia"/>
                      <w:sz w:val="21"/>
                      <w:szCs w:val="21"/>
                    </w:rPr>
                    <w:t xml:space="preserve">        不可以接受</w:t>
                  </w:r>
                  <w:r>
                    <w:rPr>
                      <w:rFonts w:hint="eastAsia"/>
                      <w:sz w:val="21"/>
                      <w:szCs w:val="21"/>
                    </w:rPr>
                    <w:sym w:font="Wingdings 2" w:char="00A3"/>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965" w:type="dxa"/>
                  <w:vMerge w:val="continue"/>
                  <w:tcBorders>
                    <w:tl2br w:val="nil"/>
                    <w:tr2bl w:val="nil"/>
                  </w:tcBorders>
                  <w:vAlign w:val="center"/>
                </w:tcPr>
                <w:p>
                  <w:pPr>
                    <w:snapToGrid w:val="0"/>
                    <w:jc w:val="center"/>
                    <w:rPr>
                      <w:color w:val="FF0000"/>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 xml:space="preserve">大气环境防护距离 </w:t>
                  </w:r>
                </w:p>
              </w:tc>
              <w:tc>
                <w:tcPr>
                  <w:tcW w:w="6289" w:type="dxa"/>
                  <w:gridSpan w:val="15"/>
                  <w:tcBorders>
                    <w:tl2br w:val="nil"/>
                    <w:tr2bl w:val="nil"/>
                  </w:tcBorders>
                  <w:vAlign w:val="center"/>
                </w:tcPr>
                <w:p>
                  <w:pPr>
                    <w:snapToGrid w:val="0"/>
                    <w:jc w:val="center"/>
                    <w:rPr>
                      <w:rFonts w:eastAsiaTheme="minorEastAsia"/>
                      <w:sz w:val="21"/>
                      <w:szCs w:val="21"/>
                    </w:rPr>
                  </w:pPr>
                  <w:r>
                    <w:rPr>
                      <w:rFonts w:hint="eastAsia"/>
                      <w:sz w:val="21"/>
                      <w:szCs w:val="21"/>
                    </w:rPr>
                    <w:t>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65" w:type="dxa"/>
                  <w:vMerge w:val="continue"/>
                  <w:tcBorders>
                    <w:tl2br w:val="nil"/>
                    <w:tr2bl w:val="nil"/>
                  </w:tcBorders>
                  <w:vAlign w:val="center"/>
                </w:tcPr>
                <w:p>
                  <w:pPr>
                    <w:snapToGrid w:val="0"/>
                    <w:jc w:val="center"/>
                    <w:rPr>
                      <w:sz w:val="21"/>
                      <w:szCs w:val="21"/>
                    </w:rPr>
                  </w:pPr>
                </w:p>
              </w:tc>
              <w:tc>
                <w:tcPr>
                  <w:tcW w:w="1406" w:type="dxa"/>
                  <w:tcBorders>
                    <w:tl2br w:val="nil"/>
                    <w:tr2bl w:val="nil"/>
                  </w:tcBorders>
                  <w:vAlign w:val="center"/>
                </w:tcPr>
                <w:p>
                  <w:pPr>
                    <w:snapToGrid w:val="0"/>
                    <w:jc w:val="center"/>
                    <w:rPr>
                      <w:rFonts w:eastAsiaTheme="minorEastAsia"/>
                      <w:sz w:val="21"/>
                      <w:szCs w:val="21"/>
                    </w:rPr>
                  </w:pPr>
                  <w:r>
                    <w:rPr>
                      <w:rFonts w:hint="eastAsia"/>
                      <w:sz w:val="21"/>
                      <w:szCs w:val="21"/>
                    </w:rPr>
                    <w:t>污染源年排放量</w:t>
                  </w:r>
                </w:p>
              </w:tc>
              <w:tc>
                <w:tcPr>
                  <w:tcW w:w="1572" w:type="dxa"/>
                  <w:gridSpan w:val="3"/>
                  <w:tcBorders>
                    <w:tl2br w:val="nil"/>
                    <w:tr2bl w:val="nil"/>
                  </w:tcBorders>
                  <w:vAlign w:val="center"/>
                </w:tcPr>
                <w:p>
                  <w:pPr>
                    <w:snapToGrid w:val="0"/>
                    <w:jc w:val="center"/>
                    <w:rPr>
                      <w:rFonts w:eastAsiaTheme="minorEastAsia"/>
                      <w:sz w:val="21"/>
                      <w:szCs w:val="21"/>
                    </w:rPr>
                  </w:pPr>
                  <w:r>
                    <w:rPr>
                      <w:rFonts w:hint="eastAsia"/>
                      <w:sz w:val="21"/>
                      <w:szCs w:val="21"/>
                    </w:rPr>
                    <w:t>SO</w:t>
                  </w:r>
                  <w:r>
                    <w:rPr>
                      <w:rFonts w:hint="eastAsia"/>
                      <w:sz w:val="21"/>
                      <w:szCs w:val="21"/>
                      <w:vertAlign w:val="subscript"/>
                    </w:rPr>
                    <w:t>2</w:t>
                  </w:r>
                  <w:r>
                    <w:rPr>
                      <w:rFonts w:hint="eastAsia"/>
                      <w:sz w:val="21"/>
                      <w:szCs w:val="21"/>
                    </w:rPr>
                    <w:t>:（）t/a</w:t>
                  </w:r>
                </w:p>
              </w:tc>
              <w:tc>
                <w:tcPr>
                  <w:tcW w:w="1572" w:type="dxa"/>
                  <w:gridSpan w:val="4"/>
                  <w:tcBorders>
                    <w:tl2br w:val="nil"/>
                    <w:tr2bl w:val="nil"/>
                  </w:tcBorders>
                  <w:vAlign w:val="center"/>
                </w:tcPr>
                <w:p>
                  <w:pPr>
                    <w:snapToGrid w:val="0"/>
                    <w:jc w:val="center"/>
                    <w:rPr>
                      <w:sz w:val="21"/>
                      <w:szCs w:val="21"/>
                    </w:rPr>
                  </w:pPr>
                  <w:r>
                    <w:rPr>
                      <w:rFonts w:hint="eastAsia"/>
                      <w:sz w:val="21"/>
                      <w:szCs w:val="21"/>
                    </w:rPr>
                    <w:t>NO</w:t>
                  </w:r>
                  <w:r>
                    <w:rPr>
                      <w:rFonts w:hint="eastAsia"/>
                      <w:sz w:val="21"/>
                      <w:szCs w:val="21"/>
                      <w:vertAlign w:val="subscript"/>
                    </w:rPr>
                    <w:t>X</w:t>
                  </w:r>
                  <w:r>
                    <w:rPr>
                      <w:rFonts w:hint="eastAsia"/>
                      <w:sz w:val="21"/>
                      <w:szCs w:val="21"/>
                    </w:rPr>
                    <w:t>:（）t/a</w:t>
                  </w:r>
                </w:p>
              </w:tc>
              <w:tc>
                <w:tcPr>
                  <w:tcW w:w="1573" w:type="dxa"/>
                  <w:gridSpan w:val="6"/>
                  <w:tcBorders>
                    <w:tl2br w:val="nil"/>
                    <w:tr2bl w:val="nil"/>
                  </w:tcBorders>
                  <w:vAlign w:val="center"/>
                </w:tcPr>
                <w:p>
                  <w:pPr>
                    <w:snapToGrid w:val="0"/>
                    <w:jc w:val="center"/>
                    <w:rPr>
                      <w:sz w:val="21"/>
                      <w:szCs w:val="21"/>
                    </w:rPr>
                  </w:pPr>
                  <w:r>
                    <w:rPr>
                      <w:rFonts w:hint="eastAsia"/>
                      <w:sz w:val="21"/>
                      <w:szCs w:val="21"/>
                    </w:rPr>
                    <w:t>颗粒物:（0.00143）t/a</w:t>
                  </w:r>
                </w:p>
              </w:tc>
              <w:tc>
                <w:tcPr>
                  <w:tcW w:w="1572" w:type="dxa"/>
                  <w:gridSpan w:val="2"/>
                  <w:tcBorders>
                    <w:tl2br w:val="nil"/>
                    <w:tr2bl w:val="nil"/>
                  </w:tcBorders>
                  <w:vAlign w:val="center"/>
                </w:tcPr>
                <w:p>
                  <w:pPr>
                    <w:snapToGrid w:val="0"/>
                    <w:jc w:val="center"/>
                    <w:rPr>
                      <w:sz w:val="21"/>
                      <w:szCs w:val="21"/>
                    </w:rPr>
                  </w:pPr>
                  <w:r>
                    <w:rPr>
                      <w:rFonts w:hint="eastAsia"/>
                      <w:sz w:val="21"/>
                      <w:szCs w:val="21"/>
                    </w:rPr>
                    <w:t>VOC</w:t>
                  </w:r>
                  <w:r>
                    <w:rPr>
                      <w:rFonts w:hint="eastAsia"/>
                      <w:sz w:val="21"/>
                      <w:szCs w:val="21"/>
                      <w:vertAlign w:val="subscript"/>
                    </w:rPr>
                    <w:t>S</w:t>
                  </w:r>
                  <w:r>
                    <w:rPr>
                      <w:rFonts w:hint="eastAsia"/>
                      <w:sz w:val="21"/>
                      <w:szCs w:val="21"/>
                    </w:rPr>
                    <w:t>:</w:t>
                  </w:r>
                </w:p>
                <w:p>
                  <w:pPr>
                    <w:snapToGrid w:val="0"/>
                    <w:jc w:val="center"/>
                    <w:rPr>
                      <w:sz w:val="21"/>
                      <w:szCs w:val="21"/>
                    </w:rPr>
                  </w:pPr>
                  <w:r>
                    <w:rPr>
                      <w:rFonts w:hint="eastAsia"/>
                      <w:sz w:val="21"/>
                      <w:szCs w:val="21"/>
                    </w:rPr>
                    <w:t>（0.0</w:t>
                  </w:r>
                  <w:r>
                    <w:rPr>
                      <w:sz w:val="21"/>
                      <w:szCs w:val="21"/>
                    </w:rPr>
                    <w:t>01</w:t>
                  </w:r>
                  <w:r>
                    <w:rPr>
                      <w:rFonts w:hint="eastAsia"/>
                      <w:sz w:val="21"/>
                      <w:szCs w:val="21"/>
                    </w:rPr>
                    <w:t>）t/a</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660" w:type="dxa"/>
                  <w:gridSpan w:val="17"/>
                  <w:tcBorders>
                    <w:tl2br w:val="nil"/>
                    <w:tr2bl w:val="nil"/>
                  </w:tcBorders>
                  <w:vAlign w:val="center"/>
                </w:tcPr>
                <w:p>
                  <w:pPr>
                    <w:snapToGrid w:val="0"/>
                    <w:jc w:val="left"/>
                    <w:rPr>
                      <w:sz w:val="21"/>
                      <w:szCs w:val="21"/>
                    </w:rPr>
                  </w:pPr>
                  <w:r>
                    <w:rPr>
                      <w:rFonts w:hint="eastAsia"/>
                      <w:sz w:val="21"/>
                      <w:szCs w:val="21"/>
                    </w:rPr>
                    <w:t>注：“</w:t>
                  </w:r>
                  <w:r>
                    <w:rPr>
                      <w:rFonts w:hint="eastAsia"/>
                      <w:sz w:val="21"/>
                      <w:szCs w:val="21"/>
                    </w:rPr>
                    <w:sym w:font="Wingdings 2" w:char="00A3"/>
                  </w:r>
                  <w:r>
                    <w:rPr>
                      <w:rFonts w:hint="eastAsia"/>
                      <w:sz w:val="21"/>
                      <w:szCs w:val="21"/>
                    </w:rPr>
                    <w:t>”为勾选项，填“</w:t>
                  </w:r>
                  <w:r>
                    <w:rPr>
                      <w:rFonts w:ascii="Arial" w:hAnsi="Arial" w:cs="Arial"/>
                      <w:sz w:val="21"/>
                      <w:szCs w:val="21"/>
                    </w:rPr>
                    <w:t>√</w:t>
                  </w:r>
                  <w:r>
                    <w:rPr>
                      <w:rFonts w:hint="eastAsia"/>
                      <w:sz w:val="21"/>
                      <w:szCs w:val="21"/>
                    </w:rPr>
                    <w:t>”；“（）”为内容填写项</w:t>
                  </w:r>
                </w:p>
              </w:tc>
            </w:tr>
          </w:tbl>
          <w:p>
            <w:pPr>
              <w:pStyle w:val="36"/>
              <w:spacing w:before="144" w:beforeLines="30" w:line="360" w:lineRule="auto"/>
              <w:ind w:firstLine="482"/>
              <w:rPr>
                <w:rFonts w:ascii="宋体" w:hAnsi="宋体"/>
                <w:b/>
                <w:szCs w:val="24"/>
              </w:rPr>
            </w:pPr>
            <w:r>
              <w:rPr>
                <w:rFonts w:hint="eastAsia" w:ascii="宋体" w:hAnsi="宋体"/>
                <w:b/>
                <w:szCs w:val="24"/>
              </w:rPr>
              <w:t>2.废水</w:t>
            </w:r>
          </w:p>
          <w:p>
            <w:pPr>
              <w:snapToGrid w:val="0"/>
              <w:spacing w:line="360" w:lineRule="auto"/>
              <w:ind w:firstLine="480"/>
              <w:rPr>
                <w:sz w:val="24"/>
                <w:szCs w:val="24"/>
              </w:rPr>
            </w:pPr>
            <w:r>
              <w:rPr>
                <w:rFonts w:hint="eastAsia"/>
                <w:sz w:val="24"/>
                <w:szCs w:val="24"/>
              </w:rPr>
              <w:t>项目生活污水排入旱厕，定期清掏综合利用，不外排，对水环境影响较小。</w:t>
            </w:r>
          </w:p>
          <w:p>
            <w:pPr>
              <w:pStyle w:val="36"/>
              <w:spacing w:line="360" w:lineRule="auto"/>
              <w:ind w:firstLine="482"/>
              <w:rPr>
                <w:rFonts w:ascii="宋体" w:hAnsi="宋体"/>
                <w:b/>
                <w:szCs w:val="24"/>
              </w:rPr>
            </w:pPr>
            <w:r>
              <w:rPr>
                <w:rFonts w:hint="eastAsia" w:ascii="宋体" w:hAnsi="宋体"/>
                <w:b/>
                <w:szCs w:val="24"/>
              </w:rPr>
              <w:t>3.</w:t>
            </w:r>
            <w:r>
              <w:rPr>
                <w:rFonts w:ascii="宋体" w:hAnsi="宋体"/>
                <w:b/>
                <w:szCs w:val="24"/>
              </w:rPr>
              <w:t>噪声</w:t>
            </w:r>
          </w:p>
          <w:p>
            <w:pPr>
              <w:pStyle w:val="36"/>
              <w:spacing w:line="360" w:lineRule="auto"/>
              <w:ind w:firstLine="480"/>
              <w:rPr>
                <w:rFonts w:ascii="宋体" w:hAnsi="宋体"/>
                <w:szCs w:val="24"/>
              </w:rPr>
            </w:pPr>
            <w:r>
              <w:rPr>
                <w:rFonts w:ascii="宋体" w:hAnsi="宋体"/>
                <w:szCs w:val="24"/>
              </w:rPr>
              <w:t>本项目运营后噪声源主要是</w:t>
            </w:r>
            <w:r>
              <w:rPr>
                <w:rFonts w:hint="eastAsia" w:ascii="宋体" w:hAnsi="宋体"/>
                <w:szCs w:val="24"/>
              </w:rPr>
              <w:t>锅炉房</w:t>
            </w:r>
            <w:r>
              <w:rPr>
                <w:rFonts w:ascii="宋体" w:hAnsi="宋体"/>
                <w:szCs w:val="24"/>
              </w:rPr>
              <w:t>内</w:t>
            </w:r>
            <w:r>
              <w:rPr>
                <w:rFonts w:hint="eastAsia" w:ascii="宋体" w:hAnsi="宋体"/>
                <w:szCs w:val="24"/>
              </w:rPr>
              <w:t>机械</w:t>
            </w:r>
            <w:r>
              <w:rPr>
                <w:rFonts w:ascii="宋体" w:hAnsi="宋体"/>
                <w:szCs w:val="24"/>
              </w:rPr>
              <w:t>设备运行产生的噪声</w:t>
            </w:r>
            <w:r>
              <w:rPr>
                <w:rFonts w:hint="eastAsia" w:ascii="宋体" w:hAnsi="宋体"/>
                <w:szCs w:val="24"/>
              </w:rPr>
              <w:t>，</w:t>
            </w:r>
            <w:r>
              <w:rPr>
                <w:rFonts w:ascii="宋体" w:hAnsi="宋体"/>
                <w:szCs w:val="24"/>
              </w:rPr>
              <w:t>项目主要噪声源及源</w:t>
            </w:r>
            <w:r>
              <w:rPr>
                <w:szCs w:val="24"/>
              </w:rPr>
              <w:t>强见表7-5</w:t>
            </w:r>
            <w:r>
              <w:rPr>
                <w:rFonts w:ascii="宋体" w:hAnsi="宋体"/>
                <w:szCs w:val="24"/>
              </w:rPr>
              <w:t>。</w:t>
            </w:r>
          </w:p>
          <w:p>
            <w:pPr>
              <w:pStyle w:val="36"/>
              <w:spacing w:line="360" w:lineRule="auto"/>
              <w:ind w:firstLine="480"/>
              <w:jc w:val="center"/>
              <w:rPr>
                <w:szCs w:val="24"/>
              </w:rPr>
            </w:pPr>
            <w:r>
              <w:rPr>
                <w:rFonts w:hint="eastAsia"/>
                <w:szCs w:val="24"/>
              </w:rPr>
              <w:t>表</w:t>
            </w:r>
            <w:r>
              <w:rPr>
                <w:szCs w:val="24"/>
              </w:rPr>
              <w:t xml:space="preserve">7-5 </w:t>
            </w:r>
            <w:r>
              <w:rPr>
                <w:rFonts w:hint="eastAsia"/>
                <w:szCs w:val="24"/>
              </w:rPr>
              <w:t>项目噪声源一览表   单位：dB(A)</w:t>
            </w:r>
          </w:p>
          <w:tbl>
            <w:tblPr>
              <w:tblStyle w:val="25"/>
              <w:tblW w:w="8529"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514"/>
              <w:gridCol w:w="1282"/>
              <w:gridCol w:w="3484"/>
              <w:gridCol w:w="158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60" w:type="dxa"/>
                  <w:tcBorders>
                    <w:tl2br w:val="nil"/>
                    <w:tr2bl w:val="nil"/>
                  </w:tcBorders>
                  <w:vAlign w:val="center"/>
                </w:tcPr>
                <w:p>
                  <w:pPr>
                    <w:pStyle w:val="19"/>
                    <w:snapToGrid w:val="0"/>
                  </w:pPr>
                  <w:r>
                    <w:rPr>
                      <w:rFonts w:hint="eastAsia"/>
                    </w:rPr>
                    <w:t>序号</w:t>
                  </w:r>
                </w:p>
              </w:tc>
              <w:tc>
                <w:tcPr>
                  <w:tcW w:w="1514" w:type="dxa"/>
                  <w:tcBorders>
                    <w:tl2br w:val="nil"/>
                    <w:tr2bl w:val="nil"/>
                  </w:tcBorders>
                  <w:vAlign w:val="center"/>
                </w:tcPr>
                <w:p>
                  <w:pPr>
                    <w:pStyle w:val="19"/>
                    <w:snapToGrid w:val="0"/>
                  </w:pPr>
                  <w:r>
                    <w:rPr>
                      <w:rFonts w:hint="eastAsia"/>
                    </w:rPr>
                    <w:t>设备名称</w:t>
                  </w:r>
                </w:p>
              </w:tc>
              <w:tc>
                <w:tcPr>
                  <w:tcW w:w="1282" w:type="dxa"/>
                  <w:tcBorders>
                    <w:tl2br w:val="nil"/>
                    <w:tr2bl w:val="nil"/>
                  </w:tcBorders>
                  <w:vAlign w:val="center"/>
                </w:tcPr>
                <w:p>
                  <w:pPr>
                    <w:pStyle w:val="19"/>
                    <w:snapToGrid w:val="0"/>
                  </w:pPr>
                  <w:r>
                    <w:rPr>
                      <w:rFonts w:hint="eastAsia"/>
                    </w:rPr>
                    <w:t>源强噪声级（dB(A)）</w:t>
                  </w:r>
                </w:p>
              </w:tc>
              <w:tc>
                <w:tcPr>
                  <w:tcW w:w="3484" w:type="dxa"/>
                  <w:tcBorders>
                    <w:tl2br w:val="nil"/>
                    <w:tr2bl w:val="nil"/>
                  </w:tcBorders>
                  <w:vAlign w:val="center"/>
                </w:tcPr>
                <w:p>
                  <w:pPr>
                    <w:pStyle w:val="19"/>
                    <w:snapToGrid w:val="0"/>
                  </w:pPr>
                  <w:r>
                    <w:rPr>
                      <w:rFonts w:hint="eastAsia"/>
                    </w:rPr>
                    <w:t>降噪措施</w:t>
                  </w:r>
                </w:p>
              </w:tc>
              <w:tc>
                <w:tcPr>
                  <w:tcW w:w="1589" w:type="dxa"/>
                  <w:tcBorders>
                    <w:tl2br w:val="nil"/>
                    <w:tr2bl w:val="nil"/>
                  </w:tcBorders>
                  <w:vAlign w:val="center"/>
                </w:tcPr>
                <w:p>
                  <w:pPr>
                    <w:pStyle w:val="19"/>
                    <w:snapToGrid w:val="0"/>
                  </w:pPr>
                  <w:r>
                    <w:rPr>
                      <w:rFonts w:hint="eastAsia"/>
                    </w:rPr>
                    <w:t>治理后噪声级（dB(A)）</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60" w:type="dxa"/>
                  <w:tcBorders>
                    <w:tl2br w:val="nil"/>
                    <w:tr2bl w:val="nil"/>
                  </w:tcBorders>
                  <w:vAlign w:val="center"/>
                </w:tcPr>
                <w:p>
                  <w:pPr>
                    <w:pStyle w:val="19"/>
                    <w:snapToGrid w:val="0"/>
                  </w:pPr>
                  <w:r>
                    <w:rPr>
                      <w:rFonts w:hint="eastAsia"/>
                    </w:rPr>
                    <w:t>1</w:t>
                  </w:r>
                </w:p>
              </w:tc>
              <w:tc>
                <w:tcPr>
                  <w:tcW w:w="1514" w:type="dxa"/>
                </w:tcPr>
                <w:p>
                  <w:pPr>
                    <w:pStyle w:val="19"/>
                    <w:snapToGrid w:val="0"/>
                  </w:pPr>
                  <w:r>
                    <w:rPr>
                      <w:rStyle w:val="32"/>
                      <w:rFonts w:hint="eastAsia"/>
                    </w:rPr>
                    <w:t>搅拌机</w:t>
                  </w:r>
                </w:p>
              </w:tc>
              <w:tc>
                <w:tcPr>
                  <w:tcW w:w="1282" w:type="dxa"/>
                  <w:tcBorders>
                    <w:tl2br w:val="nil"/>
                    <w:tr2bl w:val="nil"/>
                  </w:tcBorders>
                  <w:vAlign w:val="center"/>
                </w:tcPr>
                <w:p>
                  <w:pPr>
                    <w:pStyle w:val="19"/>
                    <w:snapToGrid w:val="0"/>
                  </w:pPr>
                  <w:r>
                    <w:rPr>
                      <w:rFonts w:hint="eastAsia"/>
                    </w:rPr>
                    <w:t>85</w:t>
                  </w:r>
                </w:p>
              </w:tc>
              <w:tc>
                <w:tcPr>
                  <w:tcW w:w="3484" w:type="dxa"/>
                  <w:vMerge w:val="restart"/>
                  <w:tcBorders>
                    <w:tl2br w:val="nil"/>
                    <w:tr2bl w:val="nil"/>
                  </w:tcBorders>
                  <w:vAlign w:val="center"/>
                </w:tcPr>
                <w:p>
                  <w:pPr>
                    <w:pStyle w:val="19"/>
                    <w:snapToGrid w:val="0"/>
                  </w:pPr>
                  <w:r>
                    <w:rPr>
                      <w:rFonts w:hint="eastAsia"/>
                    </w:rPr>
                    <w:t>设置隔声罩、减震垫，建筑隔声以及绿化带等</w:t>
                  </w:r>
                </w:p>
              </w:tc>
              <w:tc>
                <w:tcPr>
                  <w:tcW w:w="1589" w:type="dxa"/>
                  <w:tcBorders>
                    <w:tl2br w:val="nil"/>
                    <w:tr2bl w:val="nil"/>
                  </w:tcBorders>
                  <w:vAlign w:val="center"/>
                </w:tcPr>
                <w:p>
                  <w:pPr>
                    <w:pStyle w:val="19"/>
                    <w:snapToGrid w:val="0"/>
                  </w:pPr>
                  <w:r>
                    <w:rPr>
                      <w:rFonts w:hint="eastAsia"/>
                    </w:rPr>
                    <w:t>65</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60" w:type="dxa"/>
                  <w:tcBorders>
                    <w:tl2br w:val="nil"/>
                    <w:tr2bl w:val="nil"/>
                  </w:tcBorders>
                  <w:vAlign w:val="center"/>
                </w:tcPr>
                <w:p>
                  <w:pPr>
                    <w:pStyle w:val="19"/>
                    <w:snapToGrid w:val="0"/>
                  </w:pPr>
                  <w:r>
                    <w:rPr>
                      <w:rFonts w:hint="eastAsia"/>
                    </w:rPr>
                    <w:t>2</w:t>
                  </w:r>
                </w:p>
              </w:tc>
              <w:tc>
                <w:tcPr>
                  <w:tcW w:w="1514" w:type="dxa"/>
                  <w:shd w:val="clear" w:color="000000" w:fill="FFFFFF"/>
                </w:tcPr>
                <w:p>
                  <w:pPr>
                    <w:pStyle w:val="19"/>
                    <w:snapToGrid w:val="0"/>
                  </w:pPr>
                  <w:r>
                    <w:rPr>
                      <w:rStyle w:val="32"/>
                      <w:rFonts w:hint="eastAsia"/>
                    </w:rPr>
                    <w:t>切割机</w:t>
                  </w:r>
                </w:p>
              </w:tc>
              <w:tc>
                <w:tcPr>
                  <w:tcW w:w="1282" w:type="dxa"/>
                  <w:tcBorders>
                    <w:tl2br w:val="nil"/>
                    <w:tr2bl w:val="nil"/>
                  </w:tcBorders>
                  <w:vAlign w:val="center"/>
                </w:tcPr>
                <w:p>
                  <w:pPr>
                    <w:pStyle w:val="19"/>
                    <w:snapToGrid w:val="0"/>
                  </w:pPr>
                  <w:r>
                    <w:rPr>
                      <w:rFonts w:hint="eastAsia"/>
                    </w:rPr>
                    <w:t>75</w:t>
                  </w:r>
                </w:p>
              </w:tc>
              <w:tc>
                <w:tcPr>
                  <w:tcW w:w="3484" w:type="dxa"/>
                  <w:vMerge w:val="continue"/>
                  <w:tcBorders>
                    <w:tl2br w:val="nil"/>
                    <w:tr2bl w:val="nil"/>
                  </w:tcBorders>
                  <w:vAlign w:val="center"/>
                </w:tcPr>
                <w:p>
                  <w:pPr>
                    <w:pStyle w:val="19"/>
                    <w:snapToGrid w:val="0"/>
                  </w:pPr>
                </w:p>
              </w:tc>
              <w:tc>
                <w:tcPr>
                  <w:tcW w:w="1589" w:type="dxa"/>
                  <w:tcBorders>
                    <w:tl2br w:val="nil"/>
                    <w:tr2bl w:val="nil"/>
                  </w:tcBorders>
                  <w:vAlign w:val="center"/>
                </w:tcPr>
                <w:p>
                  <w:pPr>
                    <w:pStyle w:val="19"/>
                    <w:snapToGrid w:val="0"/>
                  </w:pPr>
                  <w:r>
                    <w:rPr>
                      <w:rFonts w:hint="eastAsia"/>
                    </w:rPr>
                    <w:t>55</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60" w:type="dxa"/>
                  <w:tcBorders>
                    <w:tl2br w:val="nil"/>
                    <w:tr2bl w:val="nil"/>
                  </w:tcBorders>
                  <w:vAlign w:val="center"/>
                </w:tcPr>
                <w:p>
                  <w:pPr>
                    <w:pStyle w:val="19"/>
                    <w:snapToGrid w:val="0"/>
                  </w:pPr>
                  <w:r>
                    <w:rPr>
                      <w:rFonts w:hint="eastAsia"/>
                    </w:rPr>
                    <w:t>3</w:t>
                  </w:r>
                </w:p>
              </w:tc>
              <w:tc>
                <w:tcPr>
                  <w:tcW w:w="1514" w:type="dxa"/>
                  <w:shd w:val="clear" w:color="000000" w:fill="FFFFFF"/>
                </w:tcPr>
                <w:p>
                  <w:pPr>
                    <w:pStyle w:val="19"/>
                    <w:snapToGrid w:val="0"/>
                  </w:pPr>
                  <w:r>
                    <w:rPr>
                      <w:rStyle w:val="32"/>
                      <w:rFonts w:hint="eastAsia"/>
                    </w:rPr>
                    <w:t>油压机</w:t>
                  </w:r>
                </w:p>
              </w:tc>
              <w:tc>
                <w:tcPr>
                  <w:tcW w:w="1282" w:type="dxa"/>
                  <w:tcBorders>
                    <w:tl2br w:val="nil"/>
                    <w:tr2bl w:val="nil"/>
                  </w:tcBorders>
                  <w:vAlign w:val="center"/>
                </w:tcPr>
                <w:p>
                  <w:pPr>
                    <w:pStyle w:val="19"/>
                    <w:snapToGrid w:val="0"/>
                  </w:pPr>
                  <w:r>
                    <w:rPr>
                      <w:rFonts w:hint="eastAsia"/>
                    </w:rPr>
                    <w:t>80</w:t>
                  </w:r>
                </w:p>
              </w:tc>
              <w:tc>
                <w:tcPr>
                  <w:tcW w:w="3484" w:type="dxa"/>
                  <w:vMerge w:val="continue"/>
                  <w:tcBorders>
                    <w:tl2br w:val="nil"/>
                    <w:tr2bl w:val="nil"/>
                  </w:tcBorders>
                  <w:vAlign w:val="center"/>
                </w:tcPr>
                <w:p>
                  <w:pPr>
                    <w:pStyle w:val="19"/>
                    <w:snapToGrid w:val="0"/>
                  </w:pPr>
                </w:p>
              </w:tc>
              <w:tc>
                <w:tcPr>
                  <w:tcW w:w="1589" w:type="dxa"/>
                  <w:tcBorders>
                    <w:tl2br w:val="nil"/>
                    <w:tr2bl w:val="nil"/>
                  </w:tcBorders>
                  <w:vAlign w:val="center"/>
                </w:tcPr>
                <w:p>
                  <w:pPr>
                    <w:pStyle w:val="19"/>
                    <w:snapToGrid w:val="0"/>
                  </w:pPr>
                  <w:r>
                    <w:rPr>
                      <w:rFonts w:hint="eastAsia"/>
                    </w:rPr>
                    <w:t>60</w:t>
                  </w:r>
                </w:p>
              </w:tc>
            </w:tr>
          </w:tbl>
          <w:p>
            <w:pPr>
              <w:pStyle w:val="36"/>
              <w:spacing w:line="20" w:lineRule="exact"/>
              <w:ind w:firstLine="480"/>
              <w:rPr>
                <w:rFonts w:ascii="宋体" w:hAnsi="宋体"/>
                <w:color w:val="FF0000"/>
                <w:szCs w:val="24"/>
              </w:rPr>
            </w:pPr>
          </w:p>
          <w:p>
            <w:pPr>
              <w:snapToGrid w:val="0"/>
              <w:spacing w:before="144" w:beforeLines="30" w:line="360" w:lineRule="auto"/>
              <w:ind w:firstLine="480" w:firstLineChars="200"/>
              <w:rPr>
                <w:sz w:val="24"/>
                <w:szCs w:val="24"/>
              </w:rPr>
            </w:pPr>
            <w:r>
              <w:rPr>
                <w:sz w:val="24"/>
                <w:szCs w:val="24"/>
              </w:rPr>
              <w:t>⑴ 预测方法</w:t>
            </w:r>
          </w:p>
          <w:p>
            <w:pPr>
              <w:snapToGrid w:val="0"/>
              <w:spacing w:line="360" w:lineRule="auto"/>
              <w:ind w:firstLine="480" w:firstLineChars="200"/>
              <w:rPr>
                <w:sz w:val="24"/>
                <w:szCs w:val="24"/>
              </w:rPr>
            </w:pPr>
            <w:r>
              <w:rPr>
                <w:sz w:val="24"/>
                <w:szCs w:val="24"/>
              </w:rPr>
              <w:t>考虑噪声源的距离衰减、空气吸收、围墙屏蔽效应等影响因素，按衰减模式，计算出本项目投产后各声源传播到厂界某一监测点的A声级，作为预测值。</w:t>
            </w:r>
          </w:p>
          <w:p>
            <w:pPr>
              <w:snapToGrid w:val="0"/>
              <w:spacing w:line="360" w:lineRule="auto"/>
              <w:ind w:firstLine="480" w:firstLineChars="200"/>
              <w:rPr>
                <w:sz w:val="24"/>
                <w:szCs w:val="24"/>
              </w:rPr>
            </w:pPr>
            <w:r>
              <w:rPr>
                <w:sz w:val="24"/>
                <w:szCs w:val="24"/>
              </w:rPr>
              <w:t>⑵ 预测模式</w:t>
            </w:r>
          </w:p>
          <w:p>
            <w:pPr>
              <w:snapToGrid w:val="0"/>
              <w:spacing w:line="360" w:lineRule="auto"/>
              <w:ind w:firstLine="480" w:firstLineChars="200"/>
              <w:rPr>
                <w:sz w:val="24"/>
                <w:szCs w:val="24"/>
              </w:rPr>
            </w:pPr>
            <w:r>
              <w:rPr>
                <w:sz w:val="24"/>
                <w:szCs w:val="24"/>
              </w:rPr>
              <w:t>预测模式按照《环境影响评价技术导则 声环境》（HJ2.4-2009）中的有关规定选取。</w:t>
            </w:r>
          </w:p>
          <w:p>
            <w:pPr>
              <w:pStyle w:val="22"/>
              <w:widowControl w:val="0"/>
              <w:adjustRightInd w:val="0"/>
              <w:snapToGrid w:val="0"/>
              <w:spacing w:before="0" w:beforeAutospacing="0" w:after="0" w:afterAutospacing="0" w:line="360" w:lineRule="auto"/>
              <w:ind w:firstLine="480" w:firstLineChars="200"/>
              <w:jc w:val="both"/>
              <w:rPr>
                <w:rFonts w:ascii="Times New Roman" w:hAnsi="Times New Roman" w:cs="Times New Roman"/>
              </w:rPr>
            </w:pPr>
            <w:r>
              <w:rPr>
                <w:rFonts w:ascii="Times New Roman" w:hAnsi="Times New Roman" w:cs="Times New Roman"/>
              </w:rPr>
              <w:t>ⅰ 室内声源在预测点的A声级计算</w:t>
            </w:r>
          </w:p>
          <w:p>
            <w:pPr>
              <w:pStyle w:val="22"/>
              <w:widowControl w:val="0"/>
              <w:adjustRightInd w:val="0"/>
              <w:snapToGrid w:val="0"/>
              <w:spacing w:before="0" w:beforeAutospacing="0" w:after="0" w:afterAutospacing="0" w:line="360" w:lineRule="auto"/>
              <w:ind w:firstLine="480" w:firstLineChars="200"/>
              <w:jc w:val="both"/>
              <w:rPr>
                <w:rFonts w:ascii="Times New Roman" w:hAnsi="Times New Roman" w:cs="Times New Roman"/>
              </w:rPr>
            </w:pPr>
            <w:r>
              <w:rPr>
                <w:rFonts w:ascii="Times New Roman" w:hAnsi="Times New Roman" w:cs="Times New Roman"/>
              </w:rPr>
              <w:t>a. 首先计算某个室内声源在靠近围护结构处的A声级</w:t>
            </w:r>
          </w:p>
          <w:p>
            <w:pPr>
              <w:pStyle w:val="22"/>
              <w:widowControl w:val="0"/>
              <w:adjustRightInd w:val="0"/>
              <w:spacing w:before="0" w:beforeAutospacing="0" w:after="0" w:afterAutospacing="0"/>
              <w:jc w:val="center"/>
              <w:rPr>
                <w:rFonts w:ascii="Times New Roman" w:hAnsi="Times New Roman" w:cs="Times New Roman"/>
              </w:rPr>
            </w:pPr>
            <w:r>
              <w:rPr>
                <w:rFonts w:ascii="Times New Roman" w:hAnsi="Times New Roman" w:cs="Times New Roman"/>
              </w:rPr>
              <w:object>
                <v:shape id="_x0000_i1025" o:spt="75" type="#_x0000_t75" style="height:34.5pt;width:123pt;" o:ole="t" filled="f" coordsize="21600,21600">
                  <v:path/>
                  <v:fill on="f" focussize="0,0"/>
                  <v:stroke/>
                  <v:imagedata r:id="rId10" o:title=""/>
                  <o:lock v:ext="edit" aspectratio="t"/>
                  <w10:wrap type="none"/>
                  <w10:anchorlock/>
                </v:shape>
                <o:OLEObject Type="Embed" ProgID="Equation.3" ShapeID="_x0000_i1025" DrawAspect="Content" ObjectID="_1468075725" r:id="rId9">
                  <o:LockedField>false</o:LockedField>
                </o:OLEObject>
              </w:objec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式中：</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Li——某个室内声源在靠近围护结构处产生的A声级，dB(A)；</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Lw——某个声源的声功率级，dB(A)；</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r——某个声源与靠近围护结构处的距离，m；</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R——房间常数；</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Q——方向性因子。</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b. 计算所有室内声源在靠近围护结构处产生的总有效声级</w:t>
            </w:r>
          </w:p>
          <w:p>
            <w:pPr>
              <w:pStyle w:val="22"/>
              <w:widowControl w:val="0"/>
              <w:adjustRightInd w:val="0"/>
              <w:spacing w:before="0" w:beforeAutospacing="0" w:after="0" w:afterAutospacing="0"/>
              <w:jc w:val="center"/>
              <w:rPr>
                <w:rFonts w:ascii="Times New Roman" w:hAnsi="Times New Roman" w:cs="Times New Roman"/>
              </w:rPr>
            </w:pPr>
            <w:r>
              <w:rPr>
                <w:rFonts w:ascii="Times New Roman" w:hAnsi="Times New Roman" w:cs="Times New Roman"/>
              </w:rPr>
              <w:object>
                <v:shape id="_x0000_i1026" o:spt="75" type="#_x0000_t75" style="height:31.5pt;width:108pt;" o:ole="t" filled="f" coordsize="21600,21600">
                  <v:path/>
                  <v:fill on="f" focussize="0,0"/>
                  <v:stroke/>
                  <v:imagedata r:id="rId12" o:title=""/>
                  <o:lock v:ext="edit" aspectratio="t"/>
                  <w10:wrap type="none"/>
                  <w10:anchorlock/>
                </v:shape>
                <o:OLEObject Type="Embed" ProgID="Equation.3" ShapeID="_x0000_i1026" DrawAspect="Content" ObjectID="_1468075726" r:id="rId11">
                  <o:LockedField>false</o:LockedField>
                </o:OLEObject>
              </w:object>
            </w:r>
          </w:p>
          <w:p>
            <w:pPr>
              <w:pStyle w:val="22"/>
              <w:widowControl w:val="0"/>
              <w:adjustRightInd w:val="0"/>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c. 计算室外靠近围护结构处的A声级</w:t>
            </w:r>
          </w:p>
          <w:p>
            <w:pPr>
              <w:pStyle w:val="22"/>
              <w:widowControl w:val="0"/>
              <w:adjustRightInd w:val="0"/>
              <w:spacing w:before="0" w:beforeAutospacing="0" w:after="0" w:afterAutospacing="0"/>
              <w:jc w:val="center"/>
              <w:rPr>
                <w:rFonts w:ascii="Times New Roman" w:hAnsi="Times New Roman" w:cs="Times New Roman"/>
              </w:rPr>
            </w:pPr>
            <w:r>
              <w:rPr>
                <w:rFonts w:ascii="Times New Roman" w:hAnsi="Times New Roman" w:cs="Times New Roman"/>
              </w:rPr>
              <w:object>
                <v:shape id="_x0000_i1027" o:spt="75" type="#_x0000_t75" style="height:16.5pt;width:120pt;" o:ole="t" filled="f" coordsize="21600,21600">
                  <v:path/>
                  <v:fill on="f" focussize="0,0"/>
                  <v:stroke/>
                  <v:imagedata r:id="rId14" o:title=""/>
                  <o:lock v:ext="edit" aspectratio="t"/>
                  <w10:wrap type="none"/>
                  <w10:anchorlock/>
                </v:shape>
                <o:OLEObject Type="Embed" ProgID="Equation.3" ShapeID="_x0000_i1027" DrawAspect="Content" ObjectID="_1468075727" r:id="rId13">
                  <o:LockedField>false</o:LockedField>
                </o:OLEObject>
              </w:object>
            </w:r>
          </w:p>
          <w:p>
            <w:pPr>
              <w:pStyle w:val="22"/>
              <w:widowControl w:val="0"/>
              <w:adjustRightInd w:val="0"/>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式中：TL——围护结构的平均隔声量，dB(A)。</w:t>
            </w:r>
          </w:p>
          <w:p>
            <w:pPr>
              <w:pStyle w:val="22"/>
              <w:widowControl w:val="0"/>
              <w:adjustRightInd w:val="0"/>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d. 将室外声级L2(T)和透声面积换算成等效的室外声源，计算出等效声源的声功率级Lw：</w:t>
            </w:r>
          </w:p>
          <w:p>
            <w:pPr>
              <w:pStyle w:val="22"/>
              <w:widowControl w:val="0"/>
              <w:adjustRightInd w:val="0"/>
              <w:spacing w:before="0" w:beforeAutospacing="0" w:after="0" w:afterAutospacing="0"/>
              <w:jc w:val="center"/>
              <w:rPr>
                <w:rFonts w:ascii="Times New Roman" w:hAnsi="Times New Roman" w:cs="Times New Roman"/>
              </w:rPr>
            </w:pPr>
            <w:r>
              <w:rPr>
                <w:rFonts w:ascii="Times New Roman" w:hAnsi="Times New Roman" w:cs="Times New Roman"/>
              </w:rPr>
              <w:object>
                <v:shape id="_x0000_i1028" o:spt="75" type="#_x0000_t75" style="height:19.5pt;width:100.5pt;" o:ole="t" filled="f" coordsize="21600,21600">
                  <v:path/>
                  <v:fill on="f" focussize="0,0"/>
                  <v:stroke/>
                  <v:imagedata r:id="rId16" o:title=""/>
                  <o:lock v:ext="edit" aspectratio="t"/>
                  <w10:wrap type="none"/>
                  <w10:anchorlock/>
                </v:shape>
                <o:OLEObject Type="Embed" ProgID="Equation.3" ShapeID="_x0000_i1028" DrawAspect="Content" ObjectID="_1468075728" r:id="rId15">
                  <o:LockedField>false</o:LockedField>
                </o:OLEObject>
              </w:object>
            </w:r>
          </w:p>
          <w:p>
            <w:pPr>
              <w:pStyle w:val="22"/>
              <w:widowControl w:val="0"/>
              <w:adjustRightInd w:val="0"/>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式中：S——透声面积，㎡。</w:t>
            </w:r>
          </w:p>
          <w:p>
            <w:pPr>
              <w:pStyle w:val="22"/>
              <w:widowControl w:val="0"/>
              <w:adjustRightInd w:val="0"/>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e. 等效室外声源的位置为围护结构的位置，其声功率级为Lw，计算等效声源在预测点产生的声级L：</w:t>
            </w:r>
          </w:p>
          <w:p>
            <w:pPr>
              <w:jc w:val="center"/>
            </w:pPr>
            <w:r>
              <w:object>
                <v:shape id="_x0000_i1029" o:spt="75" type="#_x0000_t75" style="height:18pt;width:96pt;" o:ole="t" filled="f" coordsize="21600,21600">
                  <v:path/>
                  <v:fill on="f" focussize="0,0"/>
                  <v:stroke/>
                  <v:imagedata r:id="rId18" o:title=""/>
                  <o:lock v:ext="edit" aspectratio="t"/>
                  <w10:wrap type="none"/>
                  <w10:anchorlock/>
                </v:shape>
                <o:OLEObject Type="Embed" ProgID="Equation.DSMT4" ShapeID="_x0000_i1029" DrawAspect="Content" ObjectID="_1468075729" r:id="rId17">
                  <o:LockedField>false</o:LockedField>
                </o:OLEObject>
              </w:object>
            </w:r>
          </w:p>
          <w:p>
            <w:pPr>
              <w:pStyle w:val="22"/>
              <w:widowControl w:val="0"/>
              <w:adjustRightInd w:val="0"/>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式中：ri——预测点距围护结构的距离，m。</w:t>
            </w:r>
          </w:p>
          <w:p>
            <w:pPr>
              <w:pStyle w:val="22"/>
              <w:widowControl w:val="0"/>
              <w:adjustRightInd w:val="0"/>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ⅱ 室外声源在预测点的A声级</w:t>
            </w:r>
          </w:p>
          <w:p>
            <w:pPr>
              <w:pStyle w:val="22"/>
              <w:widowControl w:val="0"/>
              <w:adjustRightInd w:val="0"/>
              <w:spacing w:before="0" w:beforeAutospacing="0" w:after="0" w:afterAutospacing="0"/>
              <w:jc w:val="center"/>
            </w:pPr>
            <w:r>
              <w:object>
                <v:shape id="_x0000_i1030" o:spt="75" type="#_x0000_t75" style="height:19.5pt;width:271.5pt;" o:ole="t" filled="f" coordsize="21600,21600">
                  <v:path/>
                  <v:fill on="f" focussize="0,0"/>
                  <v:stroke/>
                  <v:imagedata r:id="rId20" o:title=""/>
                  <o:lock v:ext="edit" aspectratio="t"/>
                  <w10:wrap type="none"/>
                  <w10:anchorlock/>
                </v:shape>
                <o:OLEObject Type="Embed" ProgID="Equation.3" ShapeID="_x0000_i1030" DrawAspect="Content" ObjectID="_1468075730" r:id="rId19">
                  <o:LockedField>false</o:LockedField>
                </o:OLEObject>
              </w:objec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式中：</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LA(r)——距声源r处的A声级，dB(A)；</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LAref(r0)——参考位置r0处的A声级，dB(A)；</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Adiv——声波几何发散引起的A声级衰减量，dB(A)；</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Abar——遮挡物引起的A声级衰减量，dB(A)；</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Aatm——空气吸收衰减量，dB(A)；</w:t>
            </w:r>
          </w:p>
          <w:p>
            <w:pPr>
              <w:pStyle w:val="22"/>
              <w:widowControl w:val="0"/>
              <w:adjustRightInd w:val="0"/>
              <w:snapToGrid w:val="0"/>
              <w:spacing w:before="0" w:beforeAutospacing="0" w:after="0" w:afterAutospacing="0" w:line="360" w:lineRule="auto"/>
              <w:ind w:firstLine="960" w:firstLineChars="400"/>
              <w:jc w:val="both"/>
              <w:rPr>
                <w:rFonts w:ascii="Times New Roman" w:hAnsi="Times New Roman" w:cs="Times New Roman"/>
              </w:rPr>
            </w:pPr>
            <w:r>
              <w:rPr>
                <w:rFonts w:ascii="Times New Roman" w:hAnsi="Times New Roman" w:cs="Times New Roman"/>
              </w:rPr>
              <w:t>Aexc——附加衰减量，dB(A)；</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ⅲ 总声级的计算</w:t>
            </w:r>
          </w:p>
          <w:p>
            <w:pPr>
              <w:pStyle w:val="22"/>
              <w:widowControl w:val="0"/>
              <w:adjustRightInd w:val="0"/>
              <w:snapToGrid w:val="0"/>
              <w:spacing w:before="0" w:beforeAutospacing="0" w:after="0" w:afterAutospacing="0" w:line="360" w:lineRule="auto"/>
              <w:ind w:firstLine="480"/>
              <w:jc w:val="both"/>
            </w:pPr>
            <w:r>
              <w:rPr>
                <w:rFonts w:ascii="Times New Roman" w:hAnsi="Times New Roman" w:cs="Times New Roman"/>
              </w:rPr>
              <w:t>设第i个室外声源在预测点产生的A声级为LAin，i，在T时间内该声源工作时间为tin，i；设第j个等效室外声源在预测点产生的A声级为LAjout，j，在T时间内该声源工作时间为tin，j，则预测点的总有效声级为：</w:t>
            </w:r>
          </w:p>
          <w:p>
            <w:pPr>
              <w:pStyle w:val="22"/>
              <w:widowControl w:val="0"/>
              <w:adjustRightInd w:val="0"/>
              <w:spacing w:before="0" w:beforeAutospacing="0" w:after="0" w:afterAutospacing="0"/>
              <w:jc w:val="center"/>
            </w:pPr>
            <w:r>
              <w:object>
                <v:shape id="_x0000_i1031" o:spt="75" type="#_x0000_t75" style="height:36pt;width:256.5pt;" o:ole="t" filled="f" coordsize="21600,21600">
                  <v:path/>
                  <v:fill on="f" focussize="0,0"/>
                  <v:stroke/>
                  <v:imagedata r:id="rId22" o:title=""/>
                  <o:lock v:ext="edit" aspectratio="t"/>
                  <w10:wrap type="none"/>
                  <w10:anchorlock/>
                </v:shape>
                <o:OLEObject Type="Embed" ProgID="Equation.3" ShapeID="_x0000_i1031" DrawAspect="Content" ObjectID="_1468075731" r:id="rId21">
                  <o:LockedField>false</o:LockedField>
                </o:OLEObject>
              </w:object>
            </w:r>
          </w:p>
          <w:p>
            <w:pPr>
              <w:pStyle w:val="22"/>
              <w:widowControl w:val="0"/>
              <w:adjustRightInd w:val="0"/>
              <w:snapToGrid w:val="0"/>
              <w:spacing w:before="0" w:beforeAutospacing="0" w:after="0" w:afterAutospacing="0" w:line="360" w:lineRule="auto"/>
              <w:ind w:firstLine="480"/>
              <w:jc w:val="both"/>
            </w:pPr>
            <w:r>
              <w:t>式中：T——计算等效声级的时间；</w:t>
            </w:r>
          </w:p>
          <w:p>
            <w:pPr>
              <w:pStyle w:val="22"/>
              <w:widowControl w:val="0"/>
              <w:adjustRightInd w:val="0"/>
              <w:snapToGrid w:val="0"/>
              <w:spacing w:before="0" w:beforeAutospacing="0" w:after="0" w:afterAutospacing="0" w:line="360" w:lineRule="auto"/>
              <w:ind w:firstLine="1200" w:firstLineChars="500"/>
              <w:jc w:val="both"/>
            </w:pPr>
            <w:r>
              <w:t>N——室外声源的个数；</w:t>
            </w:r>
          </w:p>
          <w:p>
            <w:pPr>
              <w:pStyle w:val="22"/>
              <w:widowControl w:val="0"/>
              <w:adjustRightInd w:val="0"/>
              <w:snapToGrid w:val="0"/>
              <w:spacing w:before="0" w:beforeAutospacing="0" w:after="0" w:afterAutospacing="0" w:line="360" w:lineRule="auto"/>
              <w:ind w:firstLine="1200" w:firstLineChars="500"/>
              <w:jc w:val="both"/>
            </w:pPr>
            <w:r>
              <w:t>M——等效室外声源的个数。</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 xml:space="preserve"> 预测参数的确定</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ⅰ 本项目风机、各类泵等设备布设在室内内，厂房的平均隔声量TL取25dB(A)。</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ⅱ 本项目室内噪声源ri的取值（即为生产厂房距厂界的最近距离）：</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ⅲ 声波几何发散引起的A声级衰减量：</w:t>
            </w:r>
          </w:p>
          <w:p>
            <w:pPr>
              <w:pStyle w:val="22"/>
              <w:widowControl w:val="0"/>
              <w:adjustRightInd w:val="0"/>
              <w:spacing w:before="0" w:beforeAutospacing="0" w:after="0" w:afterAutospacing="0"/>
              <w:jc w:val="center"/>
              <w:rPr>
                <w:rFonts w:ascii="Times New Roman" w:hAnsi="Times New Roman" w:cs="Times New Roman"/>
              </w:rPr>
            </w:pPr>
            <w:r>
              <w:rPr>
                <w:rFonts w:ascii="Times New Roman" w:hAnsi="Times New Roman" w:cs="Times New Roman"/>
              </w:rPr>
              <w:object>
                <v:shape id="_x0000_i1032" o:spt="75" type="#_x0000_t75" style="height:36pt;width:73.5pt;" o:ole="t" filled="f" coordsize="21600,21600">
                  <v:path/>
                  <v:fill on="f" focussize="0,0"/>
                  <v:stroke/>
                  <v:imagedata r:id="rId24" o:title=""/>
                  <o:lock v:ext="edit" aspectratio="t"/>
                  <w10:wrap type="none"/>
                  <w10:anchorlock/>
                </v:shape>
                <o:OLEObject Type="Embed" ProgID="Equation.3" ShapeID="_x0000_i1032" DrawAspect="Content" ObjectID="_1468075732" r:id="rId23">
                  <o:LockedField>false</o:LockedField>
                </o:OLEObject>
              </w:object>
            </w:r>
          </w:p>
          <w:p>
            <w:pPr>
              <w:pStyle w:val="22"/>
              <w:widowControl w:val="0"/>
              <w:adjustRightInd w:val="0"/>
              <w:snapToGrid w:val="0"/>
              <w:spacing w:before="0" w:beforeAutospacing="0" w:after="0" w:afterAutospacing="0" w:line="360" w:lineRule="auto"/>
              <w:ind w:firstLine="482"/>
              <w:jc w:val="both"/>
            </w:pPr>
            <w:r>
              <w:rPr>
                <w:rFonts w:ascii="Times New Roman" w:hAnsi="Times New Roman" w:cs="Times New Roman"/>
              </w:rPr>
              <w:t>ⅳ 空气吸收衰减量Aatm：</w:t>
            </w:r>
          </w:p>
          <w:p>
            <w:pPr>
              <w:pStyle w:val="22"/>
              <w:widowControl w:val="0"/>
              <w:adjustRightInd w:val="0"/>
              <w:spacing w:before="0" w:beforeAutospacing="0" w:after="0" w:afterAutospacing="0"/>
              <w:jc w:val="center"/>
            </w:pPr>
            <w:r>
              <w:object>
                <v:shape id="_x0000_i1033" o:spt="75" type="#_x0000_t75" style="height:33pt;width:79.5pt;" o:ole="t" filled="f" coordsize="21600,21600">
                  <v:path/>
                  <v:fill on="f" focussize="0,0"/>
                  <v:stroke/>
                  <v:imagedata r:id="rId26" o:title=""/>
                  <o:lock v:ext="edit" aspectratio="t"/>
                  <w10:wrap type="none"/>
                  <w10:anchorlock/>
                </v:shape>
                <o:OLEObject Type="Embed" ProgID="Equation.3" ShapeID="_x0000_i1033" DrawAspect="Content" ObjectID="_1468075733" r:id="rId25">
                  <o:LockedField>false</o:LockedField>
                </o:OLEObject>
              </w:objec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式中：r——预测点到声源的距离，m；</w:t>
            </w:r>
          </w:p>
          <w:p>
            <w:pPr>
              <w:pStyle w:val="22"/>
              <w:widowControl w:val="0"/>
              <w:adjustRightInd w:val="0"/>
              <w:snapToGrid w:val="0"/>
              <w:spacing w:before="0" w:beforeAutospacing="0" w:after="0" w:afterAutospacing="0" w:line="360" w:lineRule="auto"/>
              <w:ind w:firstLine="1200" w:firstLineChars="500"/>
              <w:jc w:val="both"/>
              <w:rPr>
                <w:rFonts w:ascii="Times New Roman" w:hAnsi="Times New Roman" w:cs="Times New Roman"/>
              </w:rPr>
            </w:pPr>
            <w:r>
              <w:rPr>
                <w:rFonts w:ascii="Times New Roman" w:hAnsi="Times New Roman" w:cs="Times New Roman"/>
              </w:rPr>
              <w:t>r0——参考点到声源的距离，m；</w:t>
            </w:r>
          </w:p>
          <w:p>
            <w:pPr>
              <w:pStyle w:val="22"/>
              <w:widowControl w:val="0"/>
              <w:adjustRightInd w:val="0"/>
              <w:snapToGrid w:val="0"/>
              <w:spacing w:before="0" w:beforeAutospacing="0" w:after="0" w:afterAutospacing="0" w:line="360" w:lineRule="auto"/>
              <w:ind w:firstLine="1200" w:firstLineChars="500"/>
              <w:jc w:val="both"/>
              <w:rPr>
                <w:rFonts w:ascii="Times New Roman" w:hAnsi="Times New Roman" w:cs="Times New Roman"/>
              </w:rPr>
            </w:pPr>
            <w:r>
              <w:rPr>
                <w:rFonts w:ascii="Times New Roman" w:hAnsi="Times New Roman" w:cs="Times New Roman"/>
              </w:rPr>
              <w:t>a——空气吸收系数，它随频率和距离的增大而增大，本次预测空气吸收性衰减很小，预测时可忽略不计。</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v遮挡物引起的衰减量Abar</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lang w:val="nl-BE"/>
              </w:rPr>
              <w:t>噪声在向外传播过程中将受到厂房或其它车间的阻挡影响，从而引起声能量的衰减，具体衰减根据不同声级的传播途径而定，一般取</w:t>
            </w:r>
            <w:r>
              <w:rPr>
                <w:rFonts w:ascii="Times New Roman" w:hAnsi="Times New Roman" w:cs="Times New Roman"/>
              </w:rPr>
              <w:t>8dB(A)</w:t>
            </w:r>
            <w:r>
              <w:rPr>
                <w:rFonts w:ascii="Times New Roman" w:hAnsi="Times New Roman" w:cs="Times New Roman"/>
                <w:lang w:val="nl-BE"/>
              </w:rPr>
              <w:t>。</w:t>
            </w:r>
          </w:p>
          <w:p>
            <w:pPr>
              <w:pStyle w:val="22"/>
              <w:widowControl w:val="0"/>
              <w:adjustRightInd w:val="0"/>
              <w:snapToGrid w:val="0"/>
              <w:spacing w:before="0" w:beforeAutospacing="0" w:after="0" w:afterAutospacing="0" w:line="360" w:lineRule="auto"/>
              <w:ind w:firstLine="480"/>
              <w:jc w:val="both"/>
              <w:rPr>
                <w:rFonts w:ascii="Times New Roman" w:hAnsi="Times New Roman" w:cs="Times New Roman"/>
                <w:lang w:val="nl-BE"/>
              </w:rPr>
            </w:pPr>
            <w:r>
              <w:rPr>
                <w:rFonts w:ascii="Times New Roman" w:hAnsi="Times New Roman" w:cs="Times New Roman"/>
                <w:lang w:val="nl-BE"/>
              </w:rPr>
              <w:t>ⅵ 附加衰减量Aexc</w:t>
            </w:r>
          </w:p>
          <w:p>
            <w:pPr>
              <w:pStyle w:val="22"/>
              <w:widowControl w:val="0"/>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lang w:val="nl-BE"/>
              </w:rPr>
              <w:t>主要考虑地面效应引起的附加衰减量，根据场区布置和噪声源强及外环境状况，可以忽略本项附加衰减量。</w:t>
            </w:r>
          </w:p>
          <w:p>
            <w:pPr>
              <w:snapToGrid w:val="0"/>
              <w:spacing w:line="360" w:lineRule="auto"/>
              <w:ind w:firstLine="480"/>
              <w:rPr>
                <w:sz w:val="24"/>
                <w:szCs w:val="24"/>
              </w:rPr>
            </w:pPr>
            <w:r>
              <w:rPr>
                <w:rFonts w:hint="eastAsia"/>
                <w:sz w:val="24"/>
                <w:szCs w:val="24"/>
              </w:rPr>
              <w:t>（4）</w:t>
            </w:r>
            <w:r>
              <w:rPr>
                <w:sz w:val="24"/>
                <w:szCs w:val="24"/>
              </w:rPr>
              <w:t>声环境影响预测与评价</w:t>
            </w:r>
          </w:p>
          <w:p>
            <w:pPr>
              <w:snapToGrid w:val="0"/>
              <w:spacing w:line="360" w:lineRule="auto"/>
              <w:ind w:firstLine="480"/>
              <w:rPr>
                <w:sz w:val="24"/>
                <w:szCs w:val="24"/>
              </w:rPr>
            </w:pPr>
            <w:r>
              <w:rPr>
                <w:sz w:val="24"/>
                <w:szCs w:val="24"/>
              </w:rPr>
              <w:t>本项目场界噪声预测情况见表7-6。</w:t>
            </w:r>
          </w:p>
          <w:p>
            <w:pPr>
              <w:snapToGrid w:val="0"/>
              <w:spacing w:line="360" w:lineRule="auto"/>
              <w:ind w:firstLine="480"/>
              <w:jc w:val="center"/>
              <w:rPr>
                <w:color w:val="FF0000"/>
              </w:rPr>
            </w:pPr>
            <w:r>
              <w:rPr>
                <w:sz w:val="24"/>
                <w:szCs w:val="24"/>
              </w:rPr>
              <w:t>7-6</w:t>
            </w:r>
            <w:r>
              <w:rPr>
                <w:rFonts w:hint="eastAsia"/>
                <w:sz w:val="24"/>
                <w:szCs w:val="24"/>
              </w:rPr>
              <w:t>噪声预测结果  单位：dB(A)</w:t>
            </w:r>
          </w:p>
          <w:tbl>
            <w:tblPr>
              <w:tblStyle w:val="25"/>
              <w:tblW w:w="8218"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1337"/>
              <w:gridCol w:w="1302"/>
              <w:gridCol w:w="1166"/>
              <w:gridCol w:w="1398"/>
              <w:gridCol w:w="157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6" w:hRule="atLeast"/>
                <w:jc w:val="center"/>
              </w:trPr>
              <w:tc>
                <w:tcPr>
                  <w:tcW w:w="1443" w:type="dxa"/>
                  <w:tcBorders>
                    <w:top w:val="double" w:color="auto" w:sz="4" w:space="0"/>
                    <w:bottom w:val="single" w:color="auto" w:sz="4" w:space="0"/>
                    <w:right w:val="single" w:color="auto" w:sz="4" w:space="0"/>
                  </w:tcBorders>
                  <w:vAlign w:val="center"/>
                </w:tcPr>
                <w:p>
                  <w:pPr>
                    <w:snapToGrid w:val="0"/>
                    <w:jc w:val="center"/>
                    <w:rPr>
                      <w:sz w:val="21"/>
                      <w:szCs w:val="21"/>
                    </w:rPr>
                  </w:pPr>
                  <w:r>
                    <w:rPr>
                      <w:rFonts w:hint="eastAsia" w:ascii="宋体" w:hAnsi="宋体" w:cs="宋体"/>
                      <w:sz w:val="21"/>
                      <w:szCs w:val="21"/>
                    </w:rPr>
                    <w:t>厂界点位</w:t>
                  </w:r>
                </w:p>
              </w:tc>
              <w:tc>
                <w:tcPr>
                  <w:tcW w:w="1337" w:type="dxa"/>
                  <w:tcBorders>
                    <w:top w:val="doub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背景值</w:t>
                  </w:r>
                </w:p>
              </w:tc>
              <w:tc>
                <w:tcPr>
                  <w:tcW w:w="1302" w:type="dxa"/>
                  <w:tcBorders>
                    <w:top w:val="doub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ascii="宋体" w:hAnsi="宋体" w:cs="宋体"/>
                      <w:sz w:val="21"/>
                      <w:szCs w:val="21"/>
                    </w:rPr>
                    <w:t>贡献值</w:t>
                  </w:r>
                </w:p>
              </w:tc>
              <w:tc>
                <w:tcPr>
                  <w:tcW w:w="1166" w:type="dxa"/>
                  <w:tcBorders>
                    <w:top w:val="doub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预测值</w:t>
                  </w:r>
                </w:p>
              </w:tc>
              <w:tc>
                <w:tcPr>
                  <w:tcW w:w="1398" w:type="dxa"/>
                  <w:tcBorders>
                    <w:top w:val="doub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ascii="宋体" w:hAnsi="宋体" w:cs="宋体"/>
                      <w:sz w:val="21"/>
                      <w:szCs w:val="21"/>
                    </w:rPr>
                    <w:t>昼间标准</w:t>
                  </w:r>
                </w:p>
              </w:tc>
              <w:tc>
                <w:tcPr>
                  <w:tcW w:w="1572" w:type="dxa"/>
                  <w:tcBorders>
                    <w:top w:val="double" w:color="auto" w:sz="4" w:space="0"/>
                    <w:left w:val="single" w:color="auto" w:sz="4" w:space="0"/>
                    <w:bottom w:val="single" w:color="auto" w:sz="4" w:space="0"/>
                  </w:tcBorders>
                  <w:vAlign w:val="center"/>
                </w:tcPr>
                <w:p>
                  <w:pPr>
                    <w:snapToGrid w:val="0"/>
                    <w:jc w:val="center"/>
                    <w:rPr>
                      <w:sz w:val="21"/>
                      <w:szCs w:val="21"/>
                    </w:rPr>
                  </w:pPr>
                  <w:r>
                    <w:rPr>
                      <w:rFonts w:hint="eastAsia" w:ascii="宋体" w:hAnsi="宋体" w:cs="宋体"/>
                      <w:sz w:val="21"/>
                      <w:szCs w:val="21"/>
                    </w:rPr>
                    <w:t>超标分贝</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443" w:type="dxa"/>
                  <w:tcBorders>
                    <w:top w:val="single" w:color="auto" w:sz="4" w:space="0"/>
                    <w:bottom w:val="single" w:color="auto" w:sz="4" w:space="0"/>
                    <w:right w:val="single" w:color="auto" w:sz="4" w:space="0"/>
                  </w:tcBorders>
                  <w:vAlign w:val="center"/>
                </w:tcPr>
                <w:p>
                  <w:pPr>
                    <w:snapToGrid w:val="0"/>
                    <w:jc w:val="center"/>
                    <w:rPr>
                      <w:sz w:val="21"/>
                      <w:szCs w:val="21"/>
                    </w:rPr>
                  </w:pPr>
                  <w:r>
                    <w:rPr>
                      <w:rFonts w:hint="eastAsia" w:ascii="宋体" w:hAnsi="宋体" w:cs="宋体"/>
                      <w:sz w:val="21"/>
                      <w:szCs w:val="21"/>
                    </w:rPr>
                    <w:t>东</w:t>
                  </w:r>
                </w:p>
              </w:tc>
              <w:tc>
                <w:tcPr>
                  <w:tcW w:w="1337"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27</w:t>
                  </w:r>
                </w:p>
              </w:tc>
              <w:tc>
                <w:tcPr>
                  <w:tcW w:w="1166"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55</w:t>
                  </w:r>
                </w:p>
              </w:tc>
              <w:tc>
                <w:tcPr>
                  <w:tcW w:w="1572" w:type="dxa"/>
                  <w:tcBorders>
                    <w:top w:val="single" w:color="auto" w:sz="4" w:space="0"/>
                    <w:left w:val="single" w:color="auto" w:sz="4" w:space="0"/>
                    <w:bottom w:val="single" w:color="auto" w:sz="4" w:space="0"/>
                  </w:tcBorders>
                  <w:vAlign w:val="center"/>
                </w:tcPr>
                <w:p>
                  <w:pPr>
                    <w:snapToGrid w:val="0"/>
                    <w:jc w:val="center"/>
                    <w:rPr>
                      <w:sz w:val="21"/>
                      <w:szCs w:val="21"/>
                    </w:rPr>
                  </w:pPr>
                  <w:r>
                    <w:rPr>
                      <w:rFonts w:hint="eastAsia" w:ascii="宋体" w:hAnsi="宋体" w:cs="宋体"/>
                      <w:sz w:val="21"/>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443" w:type="dxa"/>
                  <w:tcBorders>
                    <w:top w:val="single" w:color="auto" w:sz="4" w:space="0"/>
                    <w:bottom w:val="single" w:color="auto" w:sz="4" w:space="0"/>
                    <w:right w:val="single" w:color="auto" w:sz="4" w:space="0"/>
                  </w:tcBorders>
                  <w:vAlign w:val="center"/>
                </w:tcPr>
                <w:p>
                  <w:pPr>
                    <w:snapToGrid w:val="0"/>
                    <w:jc w:val="center"/>
                    <w:rPr>
                      <w:sz w:val="21"/>
                      <w:szCs w:val="21"/>
                    </w:rPr>
                  </w:pPr>
                  <w:r>
                    <w:rPr>
                      <w:rFonts w:hint="eastAsia" w:ascii="宋体" w:hAnsi="宋体" w:cs="宋体"/>
                      <w:sz w:val="21"/>
                      <w:szCs w:val="21"/>
                    </w:rPr>
                    <w:t>南</w:t>
                  </w:r>
                </w:p>
              </w:tc>
              <w:tc>
                <w:tcPr>
                  <w:tcW w:w="1337"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27</w:t>
                  </w:r>
                </w:p>
              </w:tc>
              <w:tc>
                <w:tcPr>
                  <w:tcW w:w="1166"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55</w:t>
                  </w:r>
                </w:p>
              </w:tc>
              <w:tc>
                <w:tcPr>
                  <w:tcW w:w="1572" w:type="dxa"/>
                  <w:tcBorders>
                    <w:top w:val="single" w:color="auto" w:sz="4" w:space="0"/>
                    <w:left w:val="single" w:color="auto" w:sz="4" w:space="0"/>
                    <w:bottom w:val="single" w:color="auto" w:sz="4" w:space="0"/>
                  </w:tcBorders>
                  <w:vAlign w:val="center"/>
                </w:tcPr>
                <w:p>
                  <w:pPr>
                    <w:snapToGrid w:val="0"/>
                    <w:jc w:val="center"/>
                    <w:rPr>
                      <w:sz w:val="21"/>
                      <w:szCs w:val="21"/>
                    </w:rPr>
                  </w:pPr>
                  <w:r>
                    <w:rPr>
                      <w:rFonts w:hint="eastAsia" w:ascii="宋体" w:hAnsi="宋体" w:cs="宋体"/>
                      <w:sz w:val="21"/>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1443" w:type="dxa"/>
                  <w:tcBorders>
                    <w:top w:val="single" w:color="auto" w:sz="4" w:space="0"/>
                    <w:bottom w:val="single" w:color="auto" w:sz="4" w:space="0"/>
                    <w:right w:val="single" w:color="auto" w:sz="4" w:space="0"/>
                  </w:tcBorders>
                  <w:vAlign w:val="center"/>
                </w:tcPr>
                <w:p>
                  <w:pPr>
                    <w:snapToGrid w:val="0"/>
                    <w:jc w:val="center"/>
                    <w:rPr>
                      <w:sz w:val="21"/>
                      <w:szCs w:val="21"/>
                    </w:rPr>
                  </w:pPr>
                  <w:r>
                    <w:rPr>
                      <w:rFonts w:hint="eastAsia" w:ascii="宋体" w:hAnsi="宋体" w:cs="宋体"/>
                      <w:sz w:val="21"/>
                      <w:szCs w:val="21"/>
                    </w:rPr>
                    <w:t>西</w:t>
                  </w:r>
                </w:p>
              </w:tc>
              <w:tc>
                <w:tcPr>
                  <w:tcW w:w="1337"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27</w:t>
                  </w:r>
                </w:p>
              </w:tc>
              <w:tc>
                <w:tcPr>
                  <w:tcW w:w="1166"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55</w:t>
                  </w:r>
                </w:p>
              </w:tc>
              <w:tc>
                <w:tcPr>
                  <w:tcW w:w="1572" w:type="dxa"/>
                  <w:tcBorders>
                    <w:top w:val="single" w:color="auto" w:sz="4" w:space="0"/>
                    <w:left w:val="single" w:color="auto" w:sz="4" w:space="0"/>
                    <w:bottom w:val="single" w:color="auto" w:sz="4" w:space="0"/>
                  </w:tcBorders>
                  <w:vAlign w:val="center"/>
                </w:tcPr>
                <w:p>
                  <w:pPr>
                    <w:snapToGrid w:val="0"/>
                    <w:jc w:val="center"/>
                    <w:rPr>
                      <w:sz w:val="21"/>
                      <w:szCs w:val="21"/>
                    </w:rPr>
                  </w:pPr>
                  <w:r>
                    <w:rPr>
                      <w:rFonts w:hint="eastAsia" w:ascii="宋体" w:hAnsi="宋体" w:cs="宋体"/>
                      <w:sz w:val="21"/>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1443" w:type="dxa"/>
                  <w:tcBorders>
                    <w:top w:val="single" w:color="auto" w:sz="4" w:space="0"/>
                    <w:bottom w:val="single" w:color="auto" w:sz="4" w:space="0"/>
                    <w:right w:val="single" w:color="auto" w:sz="4" w:space="0"/>
                  </w:tcBorders>
                  <w:vAlign w:val="center"/>
                </w:tcPr>
                <w:p>
                  <w:pPr>
                    <w:snapToGrid w:val="0"/>
                    <w:jc w:val="center"/>
                    <w:rPr>
                      <w:sz w:val="21"/>
                      <w:szCs w:val="21"/>
                    </w:rPr>
                  </w:pPr>
                  <w:r>
                    <w:rPr>
                      <w:rFonts w:hint="eastAsia" w:ascii="宋体" w:hAnsi="宋体" w:cs="宋体"/>
                      <w:sz w:val="21"/>
                      <w:szCs w:val="21"/>
                    </w:rPr>
                    <w:t>北</w:t>
                  </w:r>
                </w:p>
              </w:tc>
              <w:tc>
                <w:tcPr>
                  <w:tcW w:w="1337"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27</w:t>
                  </w:r>
                </w:p>
              </w:tc>
              <w:tc>
                <w:tcPr>
                  <w:tcW w:w="1166"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55</w:t>
                  </w:r>
                </w:p>
              </w:tc>
              <w:tc>
                <w:tcPr>
                  <w:tcW w:w="1572" w:type="dxa"/>
                  <w:tcBorders>
                    <w:top w:val="single" w:color="auto" w:sz="4" w:space="0"/>
                    <w:left w:val="single" w:color="auto" w:sz="4" w:space="0"/>
                    <w:bottom w:val="single" w:color="auto" w:sz="4" w:space="0"/>
                  </w:tcBorders>
                  <w:vAlign w:val="center"/>
                </w:tcPr>
                <w:p>
                  <w:pPr>
                    <w:snapToGrid w:val="0"/>
                    <w:jc w:val="center"/>
                    <w:rPr>
                      <w:sz w:val="21"/>
                      <w:szCs w:val="21"/>
                    </w:rPr>
                  </w:pPr>
                  <w:r>
                    <w:rPr>
                      <w:rFonts w:hint="eastAsia" w:ascii="宋体" w:hAnsi="宋体" w:cs="宋体"/>
                      <w:sz w:val="21"/>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1443" w:type="dxa"/>
                  <w:tcBorders>
                    <w:top w:val="single" w:color="auto" w:sz="4" w:space="0"/>
                    <w:bottom w:val="single" w:color="auto" w:sz="4" w:space="0"/>
                    <w:right w:val="sing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东侧住宅</w:t>
                  </w:r>
                </w:p>
              </w:tc>
              <w:tc>
                <w:tcPr>
                  <w:tcW w:w="1337"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51</w:t>
                  </w: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26</w:t>
                  </w:r>
                </w:p>
              </w:tc>
              <w:tc>
                <w:tcPr>
                  <w:tcW w:w="1166"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51</w:t>
                  </w: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55</w:t>
                  </w:r>
                </w:p>
              </w:tc>
              <w:tc>
                <w:tcPr>
                  <w:tcW w:w="1572" w:type="dxa"/>
                  <w:tcBorders>
                    <w:top w:val="single" w:color="auto" w:sz="4" w:space="0"/>
                    <w:left w:val="single" w:color="auto" w:sz="4" w:space="0"/>
                    <w:bottom w:val="sing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1443" w:type="dxa"/>
                  <w:tcBorders>
                    <w:top w:val="single" w:color="auto" w:sz="4" w:space="0"/>
                    <w:bottom w:val="single" w:color="auto" w:sz="4" w:space="0"/>
                    <w:right w:val="sing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西侧住宅</w:t>
                  </w:r>
                </w:p>
              </w:tc>
              <w:tc>
                <w:tcPr>
                  <w:tcW w:w="1337"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50</w:t>
                  </w: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26</w:t>
                  </w:r>
                </w:p>
              </w:tc>
              <w:tc>
                <w:tcPr>
                  <w:tcW w:w="1166"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50</w:t>
                  </w:r>
                </w:p>
              </w:tc>
              <w:tc>
                <w:tcPr>
                  <w:tcW w:w="1398"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rFonts w:hint="eastAsia"/>
                      <w:sz w:val="21"/>
                      <w:szCs w:val="21"/>
                    </w:rPr>
                    <w:t>55</w:t>
                  </w:r>
                </w:p>
              </w:tc>
              <w:tc>
                <w:tcPr>
                  <w:tcW w:w="1572" w:type="dxa"/>
                  <w:tcBorders>
                    <w:top w:val="single" w:color="auto" w:sz="4" w:space="0"/>
                    <w:left w:val="single" w:color="auto" w:sz="4" w:space="0"/>
                    <w:bottom w:val="sing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1443" w:type="dxa"/>
                  <w:tcBorders>
                    <w:top w:val="single" w:color="auto" w:sz="4" w:space="0"/>
                    <w:bottom w:val="double" w:color="auto" w:sz="4" w:space="0"/>
                    <w:right w:val="sing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南侧住宅</w:t>
                  </w:r>
                </w:p>
              </w:tc>
              <w:tc>
                <w:tcPr>
                  <w:tcW w:w="1337" w:type="dxa"/>
                  <w:tcBorders>
                    <w:top w:val="single" w:color="auto" w:sz="4" w:space="0"/>
                    <w:left w:val="single" w:color="auto" w:sz="4" w:space="0"/>
                    <w:bottom w:val="double" w:color="auto" w:sz="4" w:space="0"/>
                    <w:right w:val="single" w:color="auto" w:sz="4" w:space="0"/>
                  </w:tcBorders>
                  <w:vAlign w:val="center"/>
                </w:tcPr>
                <w:p>
                  <w:pPr>
                    <w:snapToGrid w:val="0"/>
                    <w:jc w:val="center"/>
                    <w:rPr>
                      <w:sz w:val="21"/>
                      <w:szCs w:val="21"/>
                    </w:rPr>
                  </w:pPr>
                  <w:r>
                    <w:rPr>
                      <w:rFonts w:hint="eastAsia"/>
                      <w:sz w:val="21"/>
                      <w:szCs w:val="21"/>
                    </w:rPr>
                    <w:t>49</w:t>
                  </w:r>
                </w:p>
              </w:tc>
              <w:tc>
                <w:tcPr>
                  <w:tcW w:w="1302" w:type="dxa"/>
                  <w:tcBorders>
                    <w:top w:val="single" w:color="auto" w:sz="4" w:space="0"/>
                    <w:left w:val="single" w:color="auto" w:sz="4" w:space="0"/>
                    <w:bottom w:val="double" w:color="auto" w:sz="4" w:space="0"/>
                    <w:right w:val="single" w:color="auto" w:sz="4" w:space="0"/>
                  </w:tcBorders>
                  <w:vAlign w:val="center"/>
                </w:tcPr>
                <w:p>
                  <w:pPr>
                    <w:snapToGrid w:val="0"/>
                    <w:jc w:val="center"/>
                    <w:rPr>
                      <w:sz w:val="21"/>
                      <w:szCs w:val="21"/>
                    </w:rPr>
                  </w:pPr>
                  <w:r>
                    <w:rPr>
                      <w:rFonts w:hint="eastAsia"/>
                      <w:sz w:val="21"/>
                      <w:szCs w:val="21"/>
                    </w:rPr>
                    <w:t>26</w:t>
                  </w:r>
                </w:p>
              </w:tc>
              <w:tc>
                <w:tcPr>
                  <w:tcW w:w="1166" w:type="dxa"/>
                  <w:tcBorders>
                    <w:top w:val="single" w:color="auto" w:sz="4" w:space="0"/>
                    <w:left w:val="single" w:color="auto" w:sz="4" w:space="0"/>
                    <w:bottom w:val="double" w:color="auto" w:sz="4" w:space="0"/>
                    <w:right w:val="single" w:color="auto" w:sz="4" w:space="0"/>
                  </w:tcBorders>
                  <w:vAlign w:val="center"/>
                </w:tcPr>
                <w:p>
                  <w:pPr>
                    <w:snapToGrid w:val="0"/>
                    <w:jc w:val="center"/>
                    <w:rPr>
                      <w:sz w:val="21"/>
                      <w:szCs w:val="21"/>
                    </w:rPr>
                  </w:pPr>
                  <w:r>
                    <w:rPr>
                      <w:rFonts w:hint="eastAsia"/>
                      <w:sz w:val="21"/>
                      <w:szCs w:val="21"/>
                    </w:rPr>
                    <w:t>49</w:t>
                  </w:r>
                </w:p>
              </w:tc>
              <w:tc>
                <w:tcPr>
                  <w:tcW w:w="1398" w:type="dxa"/>
                  <w:tcBorders>
                    <w:top w:val="single" w:color="auto" w:sz="4" w:space="0"/>
                    <w:left w:val="single" w:color="auto" w:sz="4" w:space="0"/>
                    <w:bottom w:val="double" w:color="auto" w:sz="4" w:space="0"/>
                    <w:right w:val="single" w:color="auto" w:sz="4" w:space="0"/>
                  </w:tcBorders>
                  <w:vAlign w:val="center"/>
                </w:tcPr>
                <w:p>
                  <w:pPr>
                    <w:snapToGrid w:val="0"/>
                    <w:jc w:val="center"/>
                    <w:rPr>
                      <w:sz w:val="21"/>
                      <w:szCs w:val="21"/>
                    </w:rPr>
                  </w:pPr>
                  <w:r>
                    <w:rPr>
                      <w:rFonts w:hint="eastAsia"/>
                      <w:sz w:val="21"/>
                      <w:szCs w:val="21"/>
                    </w:rPr>
                    <w:t>55</w:t>
                  </w:r>
                </w:p>
              </w:tc>
              <w:tc>
                <w:tcPr>
                  <w:tcW w:w="1572" w:type="dxa"/>
                  <w:tcBorders>
                    <w:top w:val="single" w:color="auto" w:sz="4" w:space="0"/>
                    <w:left w:val="single" w:color="auto" w:sz="4" w:space="0"/>
                    <w:bottom w:val="double" w:color="auto" w:sz="4" w:space="0"/>
                  </w:tcBorders>
                  <w:vAlign w:val="center"/>
                </w:tcPr>
                <w:p>
                  <w:pPr>
                    <w:snapToGrid w:val="0"/>
                    <w:jc w:val="center"/>
                    <w:rPr>
                      <w:rFonts w:ascii="宋体" w:hAnsi="宋体" w:cs="宋体"/>
                      <w:sz w:val="21"/>
                      <w:szCs w:val="21"/>
                    </w:rPr>
                  </w:pPr>
                  <w:r>
                    <w:rPr>
                      <w:rFonts w:hint="eastAsia" w:ascii="宋体" w:hAnsi="宋体" w:cs="宋体"/>
                      <w:sz w:val="21"/>
                      <w:szCs w:val="21"/>
                    </w:rPr>
                    <w:t>达标</w:t>
                  </w:r>
                </w:p>
              </w:tc>
            </w:tr>
          </w:tbl>
          <w:p>
            <w:pPr>
              <w:pStyle w:val="36"/>
              <w:spacing w:before="144" w:beforeLines="30" w:line="360" w:lineRule="auto"/>
              <w:ind w:firstLine="480"/>
              <w:rPr>
                <w:rFonts w:eastAsiaTheme="minorEastAsia"/>
                <w:szCs w:val="24"/>
              </w:rPr>
            </w:pPr>
            <w:r>
              <w:rPr>
                <w:rFonts w:hint="eastAsia"/>
              </w:rPr>
              <w:t>本项目仅昼间生产，由上表可知，项目运营后厂界东、南、西、北噪声均符合《工业企业厂界环境噪声排放标准》(GB12348-2008)1类区标准要求，即昼间55dB（A），在项目运营期间，环评要求企业加强机构构件修理及维护，减小机器内部各部件撞击、磨擦噪声等降噪减振隔声措施，并利用厂界四周空地种植植物，再经厂房阻隔，植物吸收，距离衰减等方式保证项目运营期设备运行对所在地声环境影响降到最低。</w:t>
            </w:r>
          </w:p>
          <w:p>
            <w:pPr>
              <w:pStyle w:val="36"/>
              <w:spacing w:line="360" w:lineRule="auto"/>
              <w:ind w:firstLine="482"/>
              <w:rPr>
                <w:rFonts w:ascii="宋体" w:hAnsi="宋体"/>
                <w:b/>
              </w:rPr>
            </w:pPr>
            <w:r>
              <w:rPr>
                <w:rFonts w:hint="eastAsia" w:ascii="宋体" w:hAnsi="宋体"/>
                <w:b/>
              </w:rPr>
              <w:t>4.</w:t>
            </w:r>
            <w:r>
              <w:rPr>
                <w:rFonts w:ascii="宋体" w:hAnsi="宋体"/>
                <w:b/>
              </w:rPr>
              <w:t>固体废物</w:t>
            </w:r>
          </w:p>
          <w:p>
            <w:pPr>
              <w:pStyle w:val="36"/>
              <w:spacing w:line="360" w:lineRule="auto"/>
              <w:ind w:firstLine="480"/>
              <w:rPr>
                <w:rFonts w:ascii="宋体" w:hAnsi="宋体"/>
              </w:rPr>
            </w:pPr>
            <w:r>
              <w:rPr>
                <w:rFonts w:hint="eastAsia" w:ascii="宋体" w:hAnsi="宋体"/>
              </w:rPr>
              <w:t>项目运营过程中产生的收尘灰收集后返回原料再利用，一般固体废物包装袋暂存在指定地点，定期外售综合利用。</w:t>
            </w:r>
          </w:p>
          <w:p>
            <w:pPr>
              <w:pStyle w:val="36"/>
              <w:spacing w:line="360" w:lineRule="auto"/>
              <w:ind w:firstLine="480"/>
              <w:rPr>
                <w:rFonts w:ascii="宋体" w:hAnsi="宋体"/>
              </w:rPr>
            </w:pPr>
            <w:r>
              <w:rPr>
                <w:rFonts w:hint="eastAsia" w:ascii="宋体" w:hAnsi="宋体"/>
              </w:rPr>
              <w:t>项目运营过程中产生的废胶桶、废液压油、废活性炭收集后分类暂存在危废暂存间，定期交由有资质单位处理。</w:t>
            </w:r>
          </w:p>
          <w:p>
            <w:pPr>
              <w:pStyle w:val="36"/>
              <w:spacing w:line="360" w:lineRule="auto"/>
              <w:ind w:firstLine="480"/>
              <w:rPr>
                <w:rFonts w:ascii="宋体" w:hAnsi="宋体"/>
              </w:rPr>
            </w:pPr>
            <w:r>
              <w:rPr>
                <w:rFonts w:hint="eastAsia" w:ascii="宋体" w:hAnsi="宋体"/>
              </w:rPr>
              <w:t>危险废物类别</w:t>
            </w:r>
            <w:r>
              <w:rPr>
                <w:rFonts w:ascii="宋体" w:hAnsi="宋体"/>
              </w:rPr>
              <w:t>及代码</w:t>
            </w:r>
            <w:r>
              <w:rPr>
                <w:rFonts w:hint="eastAsia" w:ascii="宋体" w:hAnsi="宋体"/>
              </w:rPr>
              <w:t>见</w:t>
            </w:r>
            <w:r>
              <w:rPr>
                <w:rFonts w:ascii="宋体" w:hAnsi="宋体"/>
              </w:rPr>
              <w:t>下</w:t>
            </w:r>
            <w:r>
              <w:rPr>
                <w:rFonts w:hint="eastAsia" w:ascii="宋体" w:hAnsi="宋体"/>
              </w:rPr>
              <w:t>表</w:t>
            </w:r>
            <w:r>
              <w:rPr>
                <w:rFonts w:ascii="宋体" w:hAnsi="宋体"/>
              </w:rPr>
              <w:t>：</w:t>
            </w:r>
          </w:p>
          <w:p>
            <w:pPr>
              <w:pStyle w:val="36"/>
              <w:spacing w:line="360" w:lineRule="auto"/>
              <w:ind w:firstLine="480"/>
              <w:jc w:val="center"/>
              <w:rPr>
                <w:rFonts w:ascii="宋体" w:hAnsi="宋体"/>
              </w:rPr>
            </w:pPr>
            <w:r>
              <w:rPr>
                <w:rFonts w:hint="eastAsia" w:ascii="宋体" w:hAnsi="宋体"/>
              </w:rPr>
              <w:t>表7-7  危险废物明细</w:t>
            </w: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7"/>
              <w:gridCol w:w="1698"/>
              <w:gridCol w:w="1698"/>
              <w:gridCol w:w="1698"/>
              <w:gridCol w:w="1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7" w:type="dxa"/>
                </w:tcPr>
                <w:p>
                  <w:pPr>
                    <w:jc w:val="center"/>
                    <w:rPr>
                      <w:rFonts w:ascii="宋体" w:hAnsi="宋体" w:eastAsia="宋体"/>
                      <w:sz w:val="21"/>
                      <w:szCs w:val="21"/>
                    </w:rPr>
                  </w:pPr>
                  <w:r>
                    <w:rPr>
                      <w:rFonts w:hint="eastAsia" w:ascii="宋体" w:hAnsi="宋体" w:eastAsia="宋体"/>
                      <w:sz w:val="21"/>
                      <w:szCs w:val="21"/>
                    </w:rPr>
                    <w:t>危</w:t>
                  </w:r>
                  <w:r>
                    <w:rPr>
                      <w:rFonts w:ascii="宋体" w:hAnsi="宋体" w:eastAsia="宋体"/>
                      <w:sz w:val="21"/>
                      <w:szCs w:val="21"/>
                    </w:rPr>
                    <w:t>废名称</w:t>
                  </w:r>
                </w:p>
              </w:tc>
              <w:tc>
                <w:tcPr>
                  <w:tcW w:w="1698" w:type="dxa"/>
                </w:tcPr>
                <w:p>
                  <w:pPr>
                    <w:jc w:val="center"/>
                    <w:rPr>
                      <w:rFonts w:ascii="宋体" w:hAnsi="宋体" w:eastAsia="宋体"/>
                      <w:sz w:val="21"/>
                      <w:szCs w:val="21"/>
                    </w:rPr>
                  </w:pPr>
                  <w:r>
                    <w:rPr>
                      <w:rFonts w:hint="eastAsia" w:ascii="宋体" w:hAnsi="宋体" w:eastAsia="宋体"/>
                      <w:sz w:val="21"/>
                      <w:szCs w:val="21"/>
                    </w:rPr>
                    <w:t>废物</w:t>
                  </w:r>
                  <w:r>
                    <w:rPr>
                      <w:rFonts w:ascii="宋体" w:hAnsi="宋体" w:eastAsia="宋体"/>
                      <w:sz w:val="21"/>
                      <w:szCs w:val="21"/>
                    </w:rPr>
                    <w:t>类别</w:t>
                  </w:r>
                </w:p>
              </w:tc>
              <w:tc>
                <w:tcPr>
                  <w:tcW w:w="1698" w:type="dxa"/>
                </w:tcPr>
                <w:p>
                  <w:pPr>
                    <w:jc w:val="center"/>
                    <w:rPr>
                      <w:rFonts w:ascii="宋体" w:hAnsi="宋体" w:eastAsia="宋体"/>
                      <w:sz w:val="21"/>
                      <w:szCs w:val="21"/>
                    </w:rPr>
                  </w:pPr>
                  <w:r>
                    <w:rPr>
                      <w:rFonts w:hint="eastAsia" w:ascii="宋体" w:hAnsi="宋体" w:eastAsia="宋体"/>
                      <w:sz w:val="21"/>
                      <w:szCs w:val="21"/>
                    </w:rPr>
                    <w:t>废</w:t>
                  </w:r>
                  <w:r>
                    <w:rPr>
                      <w:rFonts w:ascii="宋体" w:hAnsi="宋体" w:eastAsia="宋体"/>
                      <w:sz w:val="21"/>
                      <w:szCs w:val="21"/>
                    </w:rPr>
                    <w:t>物代码</w:t>
                  </w:r>
                </w:p>
              </w:tc>
              <w:tc>
                <w:tcPr>
                  <w:tcW w:w="1698" w:type="dxa"/>
                </w:tcPr>
                <w:p>
                  <w:pPr>
                    <w:jc w:val="center"/>
                    <w:rPr>
                      <w:rFonts w:ascii="宋体" w:hAnsi="宋体" w:eastAsia="宋体"/>
                      <w:sz w:val="21"/>
                      <w:szCs w:val="21"/>
                    </w:rPr>
                  </w:pPr>
                  <w:r>
                    <w:rPr>
                      <w:rFonts w:hint="eastAsia" w:ascii="宋体" w:hAnsi="宋体" w:eastAsia="宋体"/>
                      <w:sz w:val="21"/>
                      <w:szCs w:val="21"/>
                    </w:rPr>
                    <w:t>年</w:t>
                  </w:r>
                  <w:r>
                    <w:rPr>
                      <w:rFonts w:ascii="宋体" w:hAnsi="宋体" w:eastAsia="宋体"/>
                      <w:sz w:val="21"/>
                      <w:szCs w:val="21"/>
                    </w:rPr>
                    <w:t>产生量</w:t>
                  </w:r>
                </w:p>
              </w:tc>
              <w:tc>
                <w:tcPr>
                  <w:tcW w:w="1698" w:type="dxa"/>
                </w:tcPr>
                <w:p>
                  <w:pPr>
                    <w:jc w:val="center"/>
                    <w:rPr>
                      <w:rFonts w:ascii="宋体" w:hAnsi="宋体" w:eastAsia="宋体"/>
                      <w:sz w:val="21"/>
                      <w:szCs w:val="21"/>
                    </w:rPr>
                  </w:pPr>
                  <w:r>
                    <w:rPr>
                      <w:rFonts w:hint="eastAsia" w:ascii="宋体" w:hAnsi="宋体" w:eastAsia="宋体"/>
                      <w:sz w:val="21"/>
                      <w:szCs w:val="21"/>
                    </w:rPr>
                    <w:t>处置</w:t>
                  </w:r>
                  <w:r>
                    <w:rPr>
                      <w:rFonts w:ascii="宋体" w:hAnsi="宋体" w:eastAsia="宋体"/>
                      <w:sz w:val="21"/>
                      <w:szCs w:val="21"/>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7" w:type="dxa"/>
                </w:tcPr>
                <w:p>
                  <w:pPr>
                    <w:jc w:val="center"/>
                    <w:rPr>
                      <w:rFonts w:ascii="宋体" w:hAnsi="宋体" w:eastAsia="宋体"/>
                      <w:sz w:val="21"/>
                      <w:szCs w:val="21"/>
                    </w:rPr>
                  </w:pPr>
                  <w:r>
                    <w:rPr>
                      <w:rFonts w:hint="eastAsia" w:ascii="宋体" w:hAnsi="宋体" w:eastAsia="宋体"/>
                      <w:sz w:val="21"/>
                      <w:szCs w:val="21"/>
                    </w:rPr>
                    <w:t>废胶桶</w:t>
                  </w:r>
                </w:p>
              </w:tc>
              <w:tc>
                <w:tcPr>
                  <w:tcW w:w="1698" w:type="dxa"/>
                </w:tcPr>
                <w:p>
                  <w:pPr>
                    <w:jc w:val="center"/>
                    <w:rPr>
                      <w:rFonts w:ascii="宋体" w:hAnsi="宋体" w:eastAsia="宋体"/>
                      <w:sz w:val="21"/>
                      <w:szCs w:val="21"/>
                    </w:rPr>
                  </w:pPr>
                  <w:r>
                    <w:rPr>
                      <w:rFonts w:ascii="宋体" w:hAnsi="宋体" w:eastAsia="宋体"/>
                      <w:sz w:val="21"/>
                      <w:szCs w:val="21"/>
                    </w:rPr>
                    <w:t>HW49</w:t>
                  </w:r>
                </w:p>
              </w:tc>
              <w:tc>
                <w:tcPr>
                  <w:tcW w:w="1698" w:type="dxa"/>
                </w:tcPr>
                <w:p>
                  <w:pPr>
                    <w:jc w:val="center"/>
                    <w:rPr>
                      <w:rFonts w:ascii="宋体" w:hAnsi="宋体" w:eastAsia="宋体"/>
                      <w:sz w:val="21"/>
                      <w:szCs w:val="21"/>
                    </w:rPr>
                  </w:pPr>
                  <w:r>
                    <w:rPr>
                      <w:rFonts w:ascii="宋体" w:hAnsi="宋体" w:eastAsia="宋体"/>
                      <w:sz w:val="21"/>
                      <w:szCs w:val="21"/>
                    </w:rPr>
                    <w:t>900-041-49</w:t>
                  </w:r>
                </w:p>
              </w:tc>
              <w:tc>
                <w:tcPr>
                  <w:tcW w:w="1698" w:type="dxa"/>
                </w:tcPr>
                <w:p>
                  <w:pPr>
                    <w:jc w:val="center"/>
                    <w:rPr>
                      <w:rFonts w:ascii="宋体" w:hAnsi="宋体" w:eastAsia="宋体"/>
                      <w:sz w:val="21"/>
                      <w:szCs w:val="21"/>
                    </w:rPr>
                  </w:pPr>
                  <w:r>
                    <w:rPr>
                      <w:rFonts w:hint="eastAsia" w:ascii="宋体" w:hAnsi="宋体" w:eastAsia="宋体"/>
                      <w:sz w:val="21"/>
                      <w:szCs w:val="21"/>
                    </w:rPr>
                    <w:t>70个/</w:t>
                  </w:r>
                  <w:r>
                    <w:rPr>
                      <w:rFonts w:ascii="宋体" w:hAnsi="宋体" w:eastAsia="宋体"/>
                      <w:sz w:val="21"/>
                      <w:szCs w:val="21"/>
                    </w:rPr>
                    <w:t>a</w:t>
                  </w:r>
                </w:p>
              </w:tc>
              <w:tc>
                <w:tcPr>
                  <w:tcW w:w="1698" w:type="dxa"/>
                  <w:vMerge w:val="restart"/>
                  <w:vAlign w:val="center"/>
                </w:tcPr>
                <w:p>
                  <w:pPr>
                    <w:jc w:val="center"/>
                    <w:rPr>
                      <w:rFonts w:ascii="宋体" w:hAnsi="宋体" w:eastAsia="宋体"/>
                      <w:sz w:val="21"/>
                      <w:szCs w:val="21"/>
                    </w:rPr>
                  </w:pPr>
                  <w:r>
                    <w:rPr>
                      <w:rFonts w:hint="eastAsia" w:ascii="宋体" w:hAnsi="宋体" w:eastAsia="宋体"/>
                      <w:sz w:val="21"/>
                      <w:szCs w:val="21"/>
                    </w:rPr>
                    <w:t>交</w:t>
                  </w:r>
                  <w:r>
                    <w:rPr>
                      <w:rFonts w:ascii="宋体" w:hAnsi="宋体" w:eastAsia="宋体"/>
                      <w:sz w:val="21"/>
                      <w:szCs w:val="21"/>
                    </w:rPr>
                    <w:t>有资质单位处置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7" w:type="dxa"/>
                </w:tcPr>
                <w:p>
                  <w:pPr>
                    <w:jc w:val="center"/>
                    <w:rPr>
                      <w:rFonts w:ascii="宋体" w:hAnsi="宋体" w:eastAsia="宋体"/>
                      <w:sz w:val="21"/>
                      <w:szCs w:val="21"/>
                    </w:rPr>
                  </w:pPr>
                  <w:r>
                    <w:rPr>
                      <w:rFonts w:hint="eastAsia" w:ascii="宋体" w:hAnsi="宋体" w:eastAsia="宋体"/>
                      <w:sz w:val="21"/>
                      <w:szCs w:val="21"/>
                    </w:rPr>
                    <w:t>废活性炭</w:t>
                  </w:r>
                </w:p>
              </w:tc>
              <w:tc>
                <w:tcPr>
                  <w:tcW w:w="1698" w:type="dxa"/>
                </w:tcPr>
                <w:p>
                  <w:pPr>
                    <w:jc w:val="center"/>
                    <w:rPr>
                      <w:rFonts w:ascii="宋体" w:hAnsi="宋体" w:eastAsia="宋体"/>
                      <w:sz w:val="21"/>
                      <w:szCs w:val="21"/>
                    </w:rPr>
                  </w:pPr>
                  <w:r>
                    <w:rPr>
                      <w:rFonts w:ascii="宋体" w:hAnsi="宋体" w:eastAsia="宋体"/>
                      <w:sz w:val="21"/>
                      <w:szCs w:val="21"/>
                    </w:rPr>
                    <w:t>HW49</w:t>
                  </w:r>
                </w:p>
              </w:tc>
              <w:tc>
                <w:tcPr>
                  <w:tcW w:w="1698" w:type="dxa"/>
                </w:tcPr>
                <w:p>
                  <w:pPr>
                    <w:jc w:val="center"/>
                    <w:rPr>
                      <w:rFonts w:ascii="宋体" w:hAnsi="宋体" w:eastAsia="宋体"/>
                      <w:sz w:val="21"/>
                      <w:szCs w:val="21"/>
                    </w:rPr>
                  </w:pPr>
                  <w:r>
                    <w:rPr>
                      <w:rFonts w:ascii="宋体" w:hAnsi="宋体" w:eastAsia="宋体"/>
                      <w:sz w:val="21"/>
                      <w:szCs w:val="21"/>
                    </w:rPr>
                    <w:t>900-041-49</w:t>
                  </w:r>
                </w:p>
              </w:tc>
              <w:tc>
                <w:tcPr>
                  <w:tcW w:w="1698" w:type="dxa"/>
                </w:tcPr>
                <w:p>
                  <w:pPr>
                    <w:jc w:val="center"/>
                    <w:rPr>
                      <w:rFonts w:ascii="宋体" w:hAnsi="宋体" w:eastAsia="宋体"/>
                      <w:sz w:val="21"/>
                      <w:szCs w:val="21"/>
                    </w:rPr>
                  </w:pPr>
                  <w:r>
                    <w:rPr>
                      <w:rFonts w:hint="eastAsia" w:ascii="宋体" w:hAnsi="宋体" w:eastAsia="宋体"/>
                      <w:sz w:val="21"/>
                      <w:szCs w:val="21"/>
                    </w:rPr>
                    <w:t>0.1t/a</w:t>
                  </w:r>
                </w:p>
              </w:tc>
              <w:tc>
                <w:tcPr>
                  <w:tcW w:w="1698" w:type="dxa"/>
                  <w:vMerge w:val="continue"/>
                </w:tcPr>
                <w:p>
                  <w:pPr>
                    <w:jc w:val="center"/>
                    <w:rPr>
                      <w:rFonts w:ascii="宋体" w:hAnsi="宋体"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97" w:type="dxa"/>
                </w:tcPr>
                <w:p>
                  <w:pPr>
                    <w:jc w:val="center"/>
                    <w:rPr>
                      <w:rFonts w:ascii="宋体" w:hAnsi="宋体" w:eastAsia="宋体"/>
                      <w:sz w:val="21"/>
                      <w:szCs w:val="21"/>
                    </w:rPr>
                  </w:pPr>
                  <w:r>
                    <w:rPr>
                      <w:rFonts w:hint="eastAsia" w:ascii="宋体" w:hAnsi="宋体" w:eastAsia="宋体"/>
                      <w:sz w:val="21"/>
                      <w:szCs w:val="21"/>
                    </w:rPr>
                    <w:t>废液压油</w:t>
                  </w:r>
                </w:p>
              </w:tc>
              <w:tc>
                <w:tcPr>
                  <w:tcW w:w="1698" w:type="dxa"/>
                </w:tcPr>
                <w:p>
                  <w:pPr>
                    <w:jc w:val="center"/>
                    <w:rPr>
                      <w:rFonts w:ascii="宋体" w:hAnsi="宋体" w:eastAsia="宋体"/>
                      <w:sz w:val="21"/>
                      <w:szCs w:val="21"/>
                    </w:rPr>
                  </w:pPr>
                  <w:r>
                    <w:rPr>
                      <w:rFonts w:ascii="宋体" w:hAnsi="宋体" w:eastAsia="宋体"/>
                      <w:sz w:val="21"/>
                      <w:szCs w:val="21"/>
                    </w:rPr>
                    <w:t>HW</w:t>
                  </w:r>
                  <w:r>
                    <w:rPr>
                      <w:rFonts w:hint="eastAsia" w:ascii="宋体" w:hAnsi="宋体" w:eastAsia="宋体"/>
                      <w:sz w:val="21"/>
                      <w:szCs w:val="21"/>
                    </w:rPr>
                    <w:t>08</w:t>
                  </w:r>
                </w:p>
              </w:tc>
              <w:tc>
                <w:tcPr>
                  <w:tcW w:w="1698" w:type="dxa"/>
                </w:tcPr>
                <w:p>
                  <w:pPr>
                    <w:jc w:val="center"/>
                    <w:rPr>
                      <w:rFonts w:ascii="宋体" w:hAnsi="宋体" w:eastAsia="宋体"/>
                      <w:sz w:val="21"/>
                      <w:szCs w:val="21"/>
                    </w:rPr>
                  </w:pPr>
                  <w:r>
                    <w:rPr>
                      <w:rFonts w:ascii="宋体" w:hAnsi="宋体" w:eastAsia="宋体"/>
                      <w:sz w:val="21"/>
                      <w:szCs w:val="21"/>
                    </w:rPr>
                    <w:t>900-218-08</w:t>
                  </w:r>
                </w:p>
              </w:tc>
              <w:tc>
                <w:tcPr>
                  <w:tcW w:w="1698" w:type="dxa"/>
                </w:tcPr>
                <w:p>
                  <w:pPr>
                    <w:jc w:val="center"/>
                    <w:rPr>
                      <w:rFonts w:ascii="宋体" w:hAnsi="宋体" w:eastAsia="宋体"/>
                      <w:sz w:val="21"/>
                      <w:szCs w:val="21"/>
                    </w:rPr>
                  </w:pPr>
                  <w:r>
                    <w:rPr>
                      <w:rFonts w:hint="eastAsia" w:ascii="宋体" w:hAnsi="宋体" w:eastAsia="宋体"/>
                      <w:sz w:val="21"/>
                      <w:szCs w:val="21"/>
                    </w:rPr>
                    <w:t>1.0t/a</w:t>
                  </w:r>
                </w:p>
              </w:tc>
              <w:tc>
                <w:tcPr>
                  <w:tcW w:w="1698" w:type="dxa"/>
                  <w:vMerge w:val="continue"/>
                </w:tcPr>
                <w:p>
                  <w:pPr>
                    <w:jc w:val="center"/>
                    <w:rPr>
                      <w:rFonts w:ascii="宋体" w:hAnsi="宋体" w:eastAsia="宋体"/>
                      <w:sz w:val="21"/>
                      <w:szCs w:val="21"/>
                    </w:rPr>
                  </w:pPr>
                </w:p>
              </w:tc>
            </w:tr>
          </w:tbl>
          <w:p/>
          <w:p>
            <w:pPr>
              <w:pStyle w:val="36"/>
              <w:spacing w:line="360" w:lineRule="auto"/>
              <w:ind w:firstLine="480"/>
              <w:rPr>
                <w:rFonts w:ascii="宋体" w:hAnsi="宋体"/>
              </w:rPr>
            </w:pPr>
            <w:r>
              <w:rPr>
                <w:rFonts w:hint="eastAsia" w:ascii="宋体" w:hAnsi="宋体"/>
              </w:rPr>
              <w:t>危废暂存间库房地面必需为耐腐蚀的硬化地面，且表面无裂隙，基础必需防渗，人工防渗层厚度需大于</w:t>
            </w:r>
            <w:r>
              <w:rPr>
                <w:rFonts w:ascii="宋体" w:hAnsi="宋体"/>
              </w:rPr>
              <w:t>2mm</w:t>
            </w:r>
            <w:r>
              <w:rPr>
                <w:rFonts w:hint="eastAsia" w:ascii="宋体" w:hAnsi="宋体"/>
              </w:rPr>
              <w:t>，渗透系数≤</w:t>
            </w:r>
            <w:r>
              <w:rPr>
                <w:rFonts w:ascii="宋体" w:hAnsi="宋体"/>
              </w:rPr>
              <w:t>10×10 -10 cm/</w:t>
            </w:r>
            <w:r>
              <w:rPr>
                <w:rFonts w:hint="eastAsia" w:ascii="宋体" w:hAnsi="宋体"/>
              </w:rPr>
              <w:t>秒。应设计堵截泄漏的裙脚，地面与裙脚所围建的容积不低于堵截最大容器的最大储量或总储量的五分之一。要有安全照明设施和观察窗口。</w:t>
            </w:r>
          </w:p>
          <w:p>
            <w:pPr>
              <w:pStyle w:val="36"/>
              <w:spacing w:line="360" w:lineRule="auto"/>
              <w:ind w:firstLine="480"/>
              <w:rPr>
                <w:rFonts w:ascii="宋体" w:hAnsi="宋体"/>
              </w:rPr>
            </w:pPr>
            <w:r>
              <w:rPr>
                <w:rFonts w:hint="eastAsia" w:ascii="宋体" w:hAnsi="宋体"/>
              </w:rPr>
              <w:t>经采取以上措施，本项目运营过程中产生的固体废物均能得到有效的治理。</w:t>
            </w:r>
          </w:p>
          <w:p>
            <w:pPr>
              <w:adjustRightInd w:val="0"/>
              <w:snapToGrid w:val="0"/>
              <w:spacing w:line="360" w:lineRule="auto"/>
              <w:rPr>
                <w:rFonts w:ascii="宋体" w:hAnsi="宋体" w:eastAsia="宋体"/>
                <w:b/>
                <w:sz w:val="24"/>
                <w:szCs w:val="24"/>
              </w:rPr>
            </w:pPr>
            <w:r>
              <w:rPr>
                <w:rFonts w:hint="eastAsia" w:ascii="宋体" w:hAnsi="宋体" w:eastAsia="宋体"/>
                <w:b/>
                <w:sz w:val="24"/>
                <w:szCs w:val="24"/>
              </w:rPr>
              <w:t>排污口规范化设置</w:t>
            </w:r>
          </w:p>
          <w:p>
            <w:pPr>
              <w:pStyle w:val="36"/>
              <w:spacing w:line="360" w:lineRule="auto"/>
              <w:ind w:firstLine="480"/>
              <w:rPr>
                <w:rFonts w:ascii="宋体" w:hAnsi="宋体"/>
              </w:rPr>
            </w:pPr>
            <w:r>
              <w:rPr>
                <w:rFonts w:hint="eastAsia" w:ascii="宋体" w:hAnsi="宋体" w:cs="宋体"/>
                <w:bCs/>
                <w:kern w:val="0"/>
              </w:rPr>
              <w:t>根据《关于开展排污口规范化整治工作的通知》（环发[1999]24号）、《排污口规范化整治技术》（环发[1999]24号）等规定，企业应在排气筒等设施醒目处设立环境保护图形标志牌，按要求加以标识（排气筒高度、出口内径、排放污染物种类等）。废气排放口必须符合规定的高度和按《污染源监测技术规范》便于采样、监测的要求，废气设置直径不小于</w:t>
            </w:r>
            <w:r>
              <w:rPr>
                <w:rFonts w:ascii="宋体" w:hAnsi="宋体" w:cs="宋体"/>
                <w:bCs/>
                <w:kern w:val="0"/>
              </w:rPr>
              <w:t>75mm</w:t>
            </w:r>
            <w:r>
              <w:rPr>
                <w:rFonts w:hint="eastAsia" w:ascii="宋体" w:hAnsi="宋体" w:cs="宋体"/>
                <w:bCs/>
                <w:kern w:val="0"/>
              </w:rPr>
              <w:t>采样口。如无法满足要求的，</w:t>
            </w:r>
            <w:r>
              <w:rPr>
                <w:rFonts w:ascii="宋体" w:hAnsi="宋体" w:cs="宋体"/>
                <w:bCs/>
                <w:kern w:val="0"/>
              </w:rPr>
              <w:t xml:space="preserve"> </w:t>
            </w:r>
            <w:r>
              <w:rPr>
                <w:rFonts w:hint="eastAsia" w:ascii="宋体" w:hAnsi="宋体" w:cs="宋体"/>
                <w:bCs/>
                <w:kern w:val="0"/>
              </w:rPr>
              <w:t>其采样口由市环境监察支队和市环境监测项目站共同确认。</w:t>
            </w:r>
            <w:r>
              <w:rPr>
                <w:rFonts w:ascii="宋体" w:hAnsi="宋体"/>
              </w:rPr>
              <w:t xml:space="preserve"> </w:t>
            </w:r>
          </w:p>
          <w:p>
            <w:pPr>
              <w:adjustRightInd w:val="0"/>
              <w:snapToGrid w:val="0"/>
              <w:spacing w:line="360" w:lineRule="auto"/>
              <w:rPr>
                <w:rFonts w:ascii="宋体" w:hAnsi="宋体" w:eastAsia="宋体"/>
                <w:b/>
                <w:sz w:val="24"/>
                <w:szCs w:val="24"/>
              </w:rPr>
            </w:pPr>
            <w:r>
              <w:rPr>
                <w:rFonts w:ascii="宋体" w:hAnsi="宋体" w:eastAsia="宋体"/>
                <w:b/>
                <w:sz w:val="24"/>
                <w:szCs w:val="24"/>
              </w:rPr>
              <w:t>环保投资概算</w:t>
            </w:r>
          </w:p>
          <w:p>
            <w:pPr>
              <w:adjustRightInd w:val="0"/>
              <w:snapToGrid w:val="0"/>
              <w:spacing w:line="360" w:lineRule="auto"/>
              <w:ind w:firstLine="480" w:firstLineChars="200"/>
              <w:rPr>
                <w:rFonts w:ascii="宋体" w:hAnsi="宋体" w:eastAsia="宋体"/>
                <w:b/>
                <w:sz w:val="24"/>
                <w:szCs w:val="24"/>
              </w:rPr>
            </w:pPr>
            <w:r>
              <w:rPr>
                <w:rFonts w:eastAsia="宋体"/>
                <w:bCs/>
                <w:sz w:val="24"/>
              </w:rPr>
              <w:t>为了保证建设项目做到环保“三同时”的要求，建设单位要投入一定的资金进行环境污染治理。据初步估算，环保投资金额总计为</w:t>
            </w:r>
            <w:r>
              <w:rPr>
                <w:rFonts w:hint="eastAsia" w:eastAsia="宋体"/>
                <w:bCs/>
                <w:sz w:val="24"/>
              </w:rPr>
              <w:t>24</w:t>
            </w:r>
            <w:r>
              <w:rPr>
                <w:rFonts w:eastAsia="宋体"/>
                <w:bCs/>
                <w:sz w:val="24"/>
              </w:rPr>
              <w:t>万元，占项目总投资额</w:t>
            </w:r>
            <w:r>
              <w:rPr>
                <w:rFonts w:hint="eastAsia" w:eastAsia="宋体"/>
                <w:bCs/>
                <w:sz w:val="24"/>
              </w:rPr>
              <w:t>320</w:t>
            </w:r>
            <w:r>
              <w:rPr>
                <w:rFonts w:eastAsia="宋体"/>
                <w:bCs/>
                <w:sz w:val="24"/>
              </w:rPr>
              <w:t>万元的</w:t>
            </w:r>
            <w:r>
              <w:rPr>
                <w:rFonts w:hint="eastAsia" w:eastAsia="宋体"/>
                <w:bCs/>
                <w:sz w:val="24"/>
              </w:rPr>
              <w:t>16</w:t>
            </w:r>
            <w:r>
              <w:rPr>
                <w:rFonts w:eastAsia="宋体"/>
                <w:bCs/>
                <w:sz w:val="24"/>
              </w:rPr>
              <w:t>%</w:t>
            </w:r>
            <w:r>
              <w:rPr>
                <w:rFonts w:ascii="宋体" w:hAnsi="宋体" w:eastAsia="宋体"/>
                <w:sz w:val="24"/>
              </w:rPr>
              <w:t>。</w:t>
            </w:r>
          </w:p>
          <w:p>
            <w:pPr>
              <w:adjustRightInd w:val="0"/>
              <w:snapToGrid w:val="0"/>
              <w:spacing w:line="360" w:lineRule="auto"/>
              <w:ind w:firstLine="480" w:firstLineChars="200"/>
              <w:jc w:val="center"/>
              <w:rPr>
                <w:rFonts w:eastAsia="宋体"/>
                <w:bCs/>
                <w:sz w:val="24"/>
              </w:rPr>
            </w:pPr>
            <w:r>
              <w:rPr>
                <w:rFonts w:eastAsia="宋体"/>
                <w:bCs/>
                <w:sz w:val="24"/>
              </w:rPr>
              <w:t>表7-8  环保“三同时”项目及投资估算表</w:t>
            </w:r>
          </w:p>
          <w:tbl>
            <w:tblPr>
              <w:tblStyle w:val="25"/>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575"/>
              <w:gridCol w:w="892"/>
              <w:gridCol w:w="2213"/>
              <w:gridCol w:w="781"/>
              <w:gridCol w:w="1271"/>
              <w:gridCol w:w="158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575" w:type="dxa"/>
                  <w:vAlign w:val="center"/>
                </w:tcPr>
                <w:p>
                  <w:pPr>
                    <w:adjustRightInd w:val="0"/>
                    <w:snapToGrid w:val="0"/>
                    <w:spacing w:line="240" w:lineRule="exact"/>
                    <w:jc w:val="center"/>
                    <w:rPr>
                      <w:rFonts w:asciiTheme="minorEastAsia" w:hAnsiTheme="minorEastAsia" w:eastAsiaTheme="minorEastAsia"/>
                      <w:b/>
                      <w:color w:val="000000"/>
                      <w:sz w:val="21"/>
                      <w:szCs w:val="21"/>
                    </w:rPr>
                  </w:pPr>
                  <w:r>
                    <w:rPr>
                      <w:rFonts w:asciiTheme="minorEastAsia" w:hAnsiTheme="minorEastAsia" w:eastAsiaTheme="minorEastAsia"/>
                      <w:b/>
                      <w:color w:val="000000"/>
                      <w:sz w:val="21"/>
                      <w:szCs w:val="21"/>
                    </w:rPr>
                    <w:t>类别</w:t>
                  </w:r>
                </w:p>
              </w:tc>
              <w:tc>
                <w:tcPr>
                  <w:tcW w:w="3105" w:type="dxa"/>
                  <w:gridSpan w:val="2"/>
                  <w:vAlign w:val="center"/>
                </w:tcPr>
                <w:p>
                  <w:pPr>
                    <w:adjustRightInd w:val="0"/>
                    <w:snapToGrid w:val="0"/>
                    <w:spacing w:line="240" w:lineRule="exact"/>
                    <w:jc w:val="center"/>
                    <w:rPr>
                      <w:rFonts w:asciiTheme="minorEastAsia" w:hAnsiTheme="minorEastAsia" w:eastAsiaTheme="minorEastAsia"/>
                      <w:b/>
                      <w:color w:val="000000"/>
                      <w:sz w:val="21"/>
                      <w:szCs w:val="21"/>
                    </w:rPr>
                  </w:pPr>
                  <w:r>
                    <w:rPr>
                      <w:rFonts w:asciiTheme="minorEastAsia" w:hAnsiTheme="minorEastAsia" w:eastAsiaTheme="minorEastAsia"/>
                      <w:b/>
                      <w:color w:val="000000"/>
                      <w:sz w:val="21"/>
                      <w:szCs w:val="21"/>
                    </w:rPr>
                    <w:t>主要环保设施、设备</w:t>
                  </w:r>
                </w:p>
              </w:tc>
              <w:tc>
                <w:tcPr>
                  <w:tcW w:w="781" w:type="dxa"/>
                  <w:vAlign w:val="center"/>
                </w:tcPr>
                <w:p>
                  <w:pPr>
                    <w:adjustRightInd w:val="0"/>
                    <w:snapToGrid w:val="0"/>
                    <w:spacing w:line="240" w:lineRule="exact"/>
                    <w:jc w:val="center"/>
                    <w:rPr>
                      <w:rFonts w:asciiTheme="minorEastAsia" w:hAnsiTheme="minorEastAsia" w:eastAsiaTheme="minorEastAsia"/>
                      <w:b/>
                      <w:color w:val="000000"/>
                      <w:sz w:val="21"/>
                      <w:szCs w:val="21"/>
                    </w:rPr>
                  </w:pPr>
                  <w:r>
                    <w:rPr>
                      <w:rFonts w:asciiTheme="minorEastAsia" w:hAnsiTheme="minorEastAsia" w:eastAsiaTheme="minorEastAsia"/>
                      <w:b/>
                      <w:color w:val="000000"/>
                      <w:sz w:val="21"/>
                      <w:szCs w:val="21"/>
                    </w:rPr>
                    <w:t>建设时间</w:t>
                  </w:r>
                </w:p>
              </w:tc>
              <w:tc>
                <w:tcPr>
                  <w:tcW w:w="1271" w:type="dxa"/>
                  <w:vAlign w:val="center"/>
                </w:tcPr>
                <w:p>
                  <w:pPr>
                    <w:adjustRightInd w:val="0"/>
                    <w:snapToGrid w:val="0"/>
                    <w:spacing w:line="240" w:lineRule="exact"/>
                    <w:jc w:val="center"/>
                    <w:rPr>
                      <w:rFonts w:asciiTheme="minorEastAsia" w:hAnsiTheme="minorEastAsia" w:eastAsiaTheme="minorEastAsia"/>
                      <w:b/>
                      <w:color w:val="000000"/>
                      <w:sz w:val="21"/>
                      <w:szCs w:val="21"/>
                    </w:rPr>
                  </w:pPr>
                  <w:r>
                    <w:rPr>
                      <w:rFonts w:asciiTheme="minorEastAsia" w:hAnsiTheme="minorEastAsia" w:eastAsiaTheme="minorEastAsia"/>
                      <w:b/>
                      <w:color w:val="000000"/>
                      <w:sz w:val="21"/>
                      <w:szCs w:val="21"/>
                    </w:rPr>
                    <w:t>投资金额（万元）</w:t>
                  </w:r>
                </w:p>
              </w:tc>
              <w:tc>
                <w:tcPr>
                  <w:tcW w:w="1580" w:type="dxa"/>
                  <w:vAlign w:val="center"/>
                </w:tcPr>
                <w:p>
                  <w:pPr>
                    <w:adjustRightInd w:val="0"/>
                    <w:snapToGrid w:val="0"/>
                    <w:spacing w:line="240" w:lineRule="exact"/>
                    <w:jc w:val="center"/>
                    <w:rPr>
                      <w:rFonts w:asciiTheme="minorEastAsia" w:hAnsiTheme="minorEastAsia" w:eastAsiaTheme="minorEastAsia"/>
                      <w:b/>
                      <w:color w:val="000000"/>
                      <w:sz w:val="21"/>
                      <w:szCs w:val="21"/>
                    </w:rPr>
                  </w:pPr>
                  <w:r>
                    <w:rPr>
                      <w:rFonts w:asciiTheme="minorEastAsia" w:hAnsiTheme="minorEastAsia" w:eastAsiaTheme="minorEastAsia"/>
                      <w:b/>
                      <w:color w:val="000000"/>
                      <w:sz w:val="21"/>
                      <w:szCs w:val="21"/>
                    </w:rPr>
                    <w:t>占环保投资比例（％）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6" w:hRule="atLeast"/>
                <w:jc w:val="center"/>
              </w:trPr>
              <w:tc>
                <w:tcPr>
                  <w:tcW w:w="1575" w:type="dxa"/>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废气</w:t>
                  </w:r>
                </w:p>
              </w:tc>
              <w:tc>
                <w:tcPr>
                  <w:tcW w:w="892" w:type="dxa"/>
                  <w:vAlign w:val="center"/>
                </w:tcPr>
                <w:p>
                  <w:pPr>
                    <w:adjustRightInd w:val="0"/>
                    <w:snapToGrid w:val="0"/>
                    <w:spacing w:line="240" w:lineRule="exact"/>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有组织</w:t>
                  </w:r>
                </w:p>
              </w:tc>
              <w:tc>
                <w:tcPr>
                  <w:tcW w:w="2213" w:type="dxa"/>
                  <w:vAlign w:val="center"/>
                </w:tcPr>
                <w:p>
                  <w:pPr>
                    <w:adjustRightInd w:val="0"/>
                    <w:snapToGrid w:val="0"/>
                    <w:spacing w:line="240" w:lineRule="exact"/>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集气罩、布袋除尘、活性炭吸附装置、1#15</w:t>
                  </w:r>
                  <w:r>
                    <w:rPr>
                      <w:rFonts w:asciiTheme="minorEastAsia" w:hAnsiTheme="minorEastAsia" w:eastAsiaTheme="minorEastAsia"/>
                      <w:color w:val="000000"/>
                      <w:sz w:val="21"/>
                      <w:szCs w:val="21"/>
                    </w:rPr>
                    <w:t>高排气筒</w:t>
                  </w:r>
                </w:p>
              </w:tc>
              <w:tc>
                <w:tcPr>
                  <w:tcW w:w="781" w:type="dxa"/>
                  <w:vMerge w:val="restart"/>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1271" w:type="dxa"/>
                  <w:vAlign w:val="center"/>
                </w:tcPr>
                <w:p>
                  <w:pPr>
                    <w:widowControl/>
                    <w:spacing w:line="240" w:lineRule="exact"/>
                    <w:jc w:val="center"/>
                    <w:textAlignment w:val="center"/>
                    <w:rPr>
                      <w:rFonts w:asciiTheme="minorEastAsia" w:hAnsiTheme="minorEastAsia" w:eastAsiaTheme="minorEastAsia"/>
                      <w:sz w:val="21"/>
                      <w:szCs w:val="21"/>
                    </w:rPr>
                  </w:pPr>
                  <w:r>
                    <w:rPr>
                      <w:rFonts w:asciiTheme="minorEastAsia" w:hAnsiTheme="minorEastAsia" w:eastAsiaTheme="minorEastAsia"/>
                      <w:kern w:val="0"/>
                      <w:sz w:val="21"/>
                      <w:szCs w:val="21"/>
                    </w:rPr>
                    <w:t>1</w:t>
                  </w:r>
                  <w:r>
                    <w:rPr>
                      <w:rFonts w:hint="eastAsia" w:asciiTheme="minorEastAsia" w:hAnsiTheme="minorEastAsia" w:eastAsiaTheme="minorEastAsia"/>
                      <w:kern w:val="0"/>
                      <w:sz w:val="21"/>
                      <w:szCs w:val="21"/>
                    </w:rPr>
                    <w:t>9</w:t>
                  </w:r>
                </w:p>
              </w:tc>
              <w:tc>
                <w:tcPr>
                  <w:tcW w:w="1580" w:type="dxa"/>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79.2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575" w:type="dxa"/>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噪声</w:t>
                  </w:r>
                </w:p>
              </w:tc>
              <w:tc>
                <w:tcPr>
                  <w:tcW w:w="3105" w:type="dxa"/>
                  <w:gridSpan w:val="2"/>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隔声减振</w:t>
                  </w:r>
                </w:p>
              </w:tc>
              <w:tc>
                <w:tcPr>
                  <w:tcW w:w="781" w:type="dxa"/>
                  <w:vMerge w:val="continue"/>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1271" w:type="dxa"/>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kern w:val="0"/>
                      <w:sz w:val="21"/>
                      <w:szCs w:val="21"/>
                    </w:rPr>
                    <w:t>2</w:t>
                  </w:r>
                </w:p>
              </w:tc>
              <w:tc>
                <w:tcPr>
                  <w:tcW w:w="1580" w:type="dxa"/>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8.33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575" w:type="dxa"/>
                  <w:vMerge w:val="restart"/>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固废</w:t>
                  </w:r>
                </w:p>
              </w:tc>
              <w:tc>
                <w:tcPr>
                  <w:tcW w:w="3105" w:type="dxa"/>
                  <w:gridSpan w:val="2"/>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一般固废暂存间</w:t>
                  </w:r>
                </w:p>
              </w:tc>
              <w:tc>
                <w:tcPr>
                  <w:tcW w:w="781" w:type="dxa"/>
                  <w:vMerge w:val="continue"/>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1271" w:type="dxa"/>
                  <w:vMerge w:val="restart"/>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kern w:val="0"/>
                      <w:sz w:val="21"/>
                      <w:szCs w:val="21"/>
                    </w:rPr>
                    <w:t>1</w:t>
                  </w:r>
                </w:p>
              </w:tc>
              <w:tc>
                <w:tcPr>
                  <w:tcW w:w="1580" w:type="dxa"/>
                  <w:vMerge w:val="restart"/>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4.17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575" w:type="dxa"/>
                  <w:vMerge w:val="continue"/>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3105" w:type="dxa"/>
                  <w:gridSpan w:val="2"/>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危废暂存间</w:t>
                  </w:r>
                </w:p>
              </w:tc>
              <w:tc>
                <w:tcPr>
                  <w:tcW w:w="781" w:type="dxa"/>
                  <w:vMerge w:val="continue"/>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1271" w:type="dxa"/>
                  <w:vMerge w:val="continue"/>
                  <w:vAlign w:val="center"/>
                </w:tcPr>
                <w:p>
                  <w:pPr>
                    <w:widowControl/>
                    <w:spacing w:line="240" w:lineRule="exact"/>
                    <w:jc w:val="center"/>
                    <w:textAlignment w:val="center"/>
                    <w:rPr>
                      <w:rFonts w:asciiTheme="minorEastAsia" w:hAnsiTheme="minorEastAsia" w:eastAsiaTheme="minorEastAsia"/>
                      <w:kern w:val="0"/>
                      <w:sz w:val="21"/>
                      <w:szCs w:val="21"/>
                    </w:rPr>
                  </w:pPr>
                </w:p>
              </w:tc>
              <w:tc>
                <w:tcPr>
                  <w:tcW w:w="1580" w:type="dxa"/>
                  <w:vMerge w:val="continue"/>
                  <w:vAlign w:val="center"/>
                </w:tcPr>
                <w:p>
                  <w:pPr>
                    <w:widowControl/>
                    <w:spacing w:line="240" w:lineRule="exact"/>
                    <w:jc w:val="center"/>
                    <w:textAlignment w:val="center"/>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575" w:type="dxa"/>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绿化</w:t>
                  </w:r>
                </w:p>
              </w:tc>
              <w:tc>
                <w:tcPr>
                  <w:tcW w:w="3105" w:type="dxa"/>
                  <w:gridSpan w:val="2"/>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绿化（依托现有）</w:t>
                  </w:r>
                </w:p>
              </w:tc>
              <w:tc>
                <w:tcPr>
                  <w:tcW w:w="781" w:type="dxa"/>
                  <w:vMerge w:val="continue"/>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1271" w:type="dxa"/>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kern w:val="0"/>
                      <w:sz w:val="21"/>
                      <w:szCs w:val="21"/>
                    </w:rPr>
                    <w:t>1</w:t>
                  </w:r>
                </w:p>
              </w:tc>
              <w:tc>
                <w:tcPr>
                  <w:tcW w:w="1580" w:type="dxa"/>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4.17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575" w:type="dxa"/>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事故应急与风险防范</w:t>
                  </w:r>
                </w:p>
              </w:tc>
              <w:tc>
                <w:tcPr>
                  <w:tcW w:w="3105" w:type="dxa"/>
                  <w:gridSpan w:val="2"/>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消防器材与设备</w:t>
                  </w:r>
                </w:p>
              </w:tc>
              <w:tc>
                <w:tcPr>
                  <w:tcW w:w="781" w:type="dxa"/>
                  <w:vMerge w:val="continue"/>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1271" w:type="dxa"/>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kern w:val="0"/>
                      <w:sz w:val="21"/>
                      <w:szCs w:val="21"/>
                    </w:rPr>
                    <w:t>1</w:t>
                  </w:r>
                </w:p>
              </w:tc>
              <w:tc>
                <w:tcPr>
                  <w:tcW w:w="1580" w:type="dxa"/>
                  <w:vAlign w:val="center"/>
                </w:tcPr>
                <w:p>
                  <w:pPr>
                    <w:widowControl/>
                    <w:spacing w:line="240" w:lineRule="exact"/>
                    <w:jc w:val="center"/>
                    <w:textAlignment w:val="center"/>
                    <w:rPr>
                      <w:rFonts w:asciiTheme="minorEastAsia" w:hAnsiTheme="minorEastAsia" w:eastAsiaTheme="minorEastAsia"/>
                      <w:sz w:val="21"/>
                      <w:szCs w:val="21"/>
                    </w:rPr>
                  </w:pPr>
                  <w:r>
                    <w:rPr>
                      <w:rFonts w:hint="eastAsia" w:asciiTheme="minorEastAsia" w:hAnsiTheme="minorEastAsia" w:eastAsiaTheme="minorEastAsia"/>
                      <w:sz w:val="21"/>
                      <w:szCs w:val="21"/>
                    </w:rPr>
                    <w:t>4.17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680" w:type="dxa"/>
                  <w:gridSpan w:val="3"/>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合计</w:t>
                  </w:r>
                </w:p>
              </w:tc>
              <w:tc>
                <w:tcPr>
                  <w:tcW w:w="781" w:type="dxa"/>
                  <w:vAlign w:val="center"/>
                </w:tcPr>
                <w:p>
                  <w:pPr>
                    <w:adjustRightInd w:val="0"/>
                    <w:snapToGrid w:val="0"/>
                    <w:spacing w:line="240" w:lineRule="exact"/>
                    <w:jc w:val="center"/>
                    <w:rPr>
                      <w:rFonts w:asciiTheme="minorEastAsia" w:hAnsiTheme="minorEastAsia" w:eastAsiaTheme="minorEastAsia"/>
                      <w:color w:val="000000"/>
                      <w:sz w:val="21"/>
                      <w:szCs w:val="21"/>
                    </w:rPr>
                  </w:pPr>
                </w:p>
              </w:tc>
              <w:tc>
                <w:tcPr>
                  <w:tcW w:w="1271" w:type="dxa"/>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24</w:t>
                  </w:r>
                </w:p>
              </w:tc>
              <w:tc>
                <w:tcPr>
                  <w:tcW w:w="1580" w:type="dxa"/>
                  <w:vAlign w:val="center"/>
                </w:tcPr>
                <w:p>
                  <w:pPr>
                    <w:adjustRightInd w:val="0"/>
                    <w:snapToGrid w:val="0"/>
                    <w:spacing w:line="240" w:lineRule="exact"/>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100</w:t>
                  </w:r>
                </w:p>
              </w:tc>
            </w:tr>
          </w:tbl>
          <w:p>
            <w:pPr>
              <w:tabs>
                <w:tab w:val="center" w:pos="4153"/>
                <w:tab w:val="right" w:pos="8306"/>
              </w:tabs>
              <w:snapToGrid w:val="0"/>
              <w:jc w:val="left"/>
              <w:rPr>
                <w:sz w:val="18"/>
                <w:szCs w:val="18"/>
              </w:rPr>
            </w:pPr>
          </w:p>
          <w:p>
            <w:pPr>
              <w:snapToGrid w:val="0"/>
              <w:spacing w:before="144" w:beforeLines="30" w:line="360" w:lineRule="auto"/>
              <w:rPr>
                <w:rFonts w:ascii="宋体" w:hAnsi="宋体" w:eastAsia="宋体"/>
                <w:b/>
                <w:sz w:val="24"/>
                <w:szCs w:val="24"/>
              </w:rPr>
            </w:pPr>
            <w:r>
              <w:rPr>
                <w:rFonts w:hint="eastAsia" w:ascii="宋体" w:hAnsi="宋体" w:eastAsia="宋体"/>
                <w:b/>
                <w:sz w:val="24"/>
                <w:szCs w:val="24"/>
              </w:rPr>
              <w:t>环境管理与监测计划</w:t>
            </w:r>
          </w:p>
          <w:p>
            <w:pPr>
              <w:numPr>
                <w:ilvl w:val="0"/>
                <w:numId w:val="4"/>
              </w:numPr>
              <w:snapToGrid w:val="0"/>
              <w:spacing w:line="360" w:lineRule="auto"/>
              <w:ind w:firstLine="480" w:firstLineChars="200"/>
              <w:rPr>
                <w:rFonts w:eastAsia="宋体"/>
                <w:sz w:val="24"/>
                <w:szCs w:val="24"/>
              </w:rPr>
            </w:pPr>
            <w:r>
              <w:rPr>
                <w:rFonts w:eastAsia="宋体"/>
                <w:sz w:val="24"/>
                <w:szCs w:val="24"/>
              </w:rPr>
              <w:t>环境管理</w:t>
            </w:r>
          </w:p>
          <w:p>
            <w:pPr>
              <w:snapToGrid w:val="0"/>
              <w:spacing w:line="360" w:lineRule="auto"/>
              <w:ind w:firstLine="480" w:firstLineChars="200"/>
              <w:rPr>
                <w:rFonts w:eastAsia="宋体"/>
                <w:sz w:val="24"/>
                <w:szCs w:val="24"/>
              </w:rPr>
            </w:pPr>
            <w:r>
              <w:rPr>
                <w:rFonts w:hint="eastAsia" w:ascii="宋体" w:hAnsi="宋体" w:eastAsia="宋体" w:cs="宋体"/>
                <w:sz w:val="24"/>
                <w:szCs w:val="24"/>
              </w:rPr>
              <w:t>①</w:t>
            </w:r>
            <w:r>
              <w:rPr>
                <w:rFonts w:eastAsia="宋体"/>
                <w:sz w:val="24"/>
                <w:szCs w:val="24"/>
              </w:rPr>
              <w:t>加强废气、噪声治理设施的管理和日常维护。</w:t>
            </w:r>
          </w:p>
          <w:p>
            <w:pPr>
              <w:snapToGrid w:val="0"/>
              <w:spacing w:line="360" w:lineRule="auto"/>
              <w:ind w:firstLine="480" w:firstLineChars="200"/>
              <w:rPr>
                <w:rFonts w:eastAsia="宋体"/>
                <w:sz w:val="24"/>
                <w:szCs w:val="24"/>
              </w:rPr>
            </w:pPr>
            <w:r>
              <w:rPr>
                <w:rFonts w:hint="eastAsia" w:ascii="宋体" w:hAnsi="宋体" w:eastAsia="宋体" w:cs="宋体"/>
                <w:sz w:val="24"/>
                <w:szCs w:val="24"/>
              </w:rPr>
              <w:t>②</w:t>
            </w:r>
            <w:r>
              <w:rPr>
                <w:rFonts w:eastAsia="宋体"/>
                <w:sz w:val="24"/>
                <w:szCs w:val="24"/>
              </w:rPr>
              <w:t>加强对</w:t>
            </w:r>
            <w:r>
              <w:rPr>
                <w:rFonts w:hint="eastAsia" w:eastAsia="宋体"/>
                <w:sz w:val="24"/>
                <w:szCs w:val="24"/>
              </w:rPr>
              <w:t>厂</w:t>
            </w:r>
            <w:r>
              <w:rPr>
                <w:rFonts w:eastAsia="宋体"/>
                <w:sz w:val="24"/>
                <w:szCs w:val="24"/>
              </w:rPr>
              <w:t>区固体废物的管理</w:t>
            </w:r>
            <w:r>
              <w:rPr>
                <w:rFonts w:hint="eastAsia" w:eastAsia="宋体"/>
                <w:sz w:val="24"/>
                <w:szCs w:val="24"/>
              </w:rPr>
              <w:t>。</w:t>
            </w:r>
          </w:p>
          <w:p>
            <w:pPr>
              <w:snapToGrid w:val="0"/>
              <w:spacing w:line="360" w:lineRule="auto"/>
              <w:ind w:firstLine="480" w:firstLineChars="200"/>
              <w:rPr>
                <w:rFonts w:eastAsia="宋体"/>
                <w:sz w:val="24"/>
                <w:szCs w:val="24"/>
              </w:rPr>
            </w:pPr>
            <w:r>
              <w:rPr>
                <w:rFonts w:hint="eastAsia" w:ascii="宋体" w:hAnsi="宋体" w:eastAsia="宋体" w:cs="宋体"/>
                <w:sz w:val="24"/>
                <w:szCs w:val="24"/>
              </w:rPr>
              <w:t>③</w:t>
            </w:r>
            <w:r>
              <w:rPr>
                <w:rFonts w:eastAsia="宋体"/>
                <w:sz w:val="24"/>
                <w:szCs w:val="24"/>
              </w:rPr>
              <w:t>落实各项环境保护措施，保证环保设施的运行良好。</w:t>
            </w:r>
          </w:p>
          <w:p>
            <w:pPr>
              <w:numPr>
                <w:ilvl w:val="0"/>
                <w:numId w:val="4"/>
              </w:numPr>
              <w:snapToGrid w:val="0"/>
              <w:spacing w:line="360" w:lineRule="auto"/>
              <w:ind w:firstLine="480" w:firstLineChars="200"/>
              <w:rPr>
                <w:rFonts w:eastAsia="宋体"/>
                <w:sz w:val="24"/>
                <w:szCs w:val="24"/>
              </w:rPr>
            </w:pPr>
            <w:r>
              <w:rPr>
                <w:rFonts w:eastAsia="宋体"/>
                <w:sz w:val="24"/>
                <w:szCs w:val="24"/>
              </w:rPr>
              <w:t>环境监测计划</w:t>
            </w:r>
          </w:p>
          <w:p>
            <w:pPr>
              <w:snapToGrid w:val="0"/>
              <w:spacing w:line="360" w:lineRule="auto"/>
              <w:ind w:firstLine="480" w:firstLineChars="200"/>
              <w:rPr>
                <w:rFonts w:ascii="宋体" w:hAnsi="宋体" w:eastAsia="宋体" w:cs="宋体"/>
                <w:sz w:val="24"/>
                <w:szCs w:val="24"/>
              </w:rPr>
            </w:pPr>
            <w:r>
              <w:rPr>
                <w:rFonts w:eastAsia="宋体"/>
                <w:sz w:val="24"/>
                <w:szCs w:val="24"/>
              </w:rPr>
              <w:t>本项目</w:t>
            </w:r>
            <w:r>
              <w:rPr>
                <w:rFonts w:hint="eastAsia" w:eastAsia="宋体"/>
                <w:sz w:val="24"/>
                <w:szCs w:val="24"/>
              </w:rPr>
              <w:t>不</w:t>
            </w:r>
            <w:r>
              <w:rPr>
                <w:rFonts w:eastAsia="宋体"/>
                <w:sz w:val="24"/>
                <w:szCs w:val="24"/>
              </w:rPr>
              <w:t>设置在线监测，营运期主要对项目运行后各污染物的排放浓度和排放量</w:t>
            </w:r>
            <w:r>
              <w:rPr>
                <w:rFonts w:ascii="宋体" w:hAnsi="宋体" w:eastAsia="宋体" w:cs="宋体"/>
                <w:sz w:val="24"/>
                <w:szCs w:val="24"/>
              </w:rPr>
              <w:t>进行监测和控制。主要监测项目见表</w:t>
            </w:r>
            <w:r>
              <w:rPr>
                <w:rFonts w:eastAsia="宋体"/>
                <w:sz w:val="24"/>
                <w:szCs w:val="24"/>
              </w:rPr>
              <w:t>50。</w:t>
            </w:r>
          </w:p>
          <w:p>
            <w:pPr>
              <w:snapToGrid w:val="0"/>
              <w:spacing w:line="360" w:lineRule="auto"/>
              <w:ind w:firstLine="480" w:firstLineChars="200"/>
            </w:pPr>
            <w:r>
              <w:rPr>
                <w:rFonts w:ascii="宋体" w:hAnsi="宋体" w:eastAsia="宋体" w:cs="宋体"/>
                <w:sz w:val="24"/>
                <w:szCs w:val="24"/>
              </w:rPr>
              <w:t>废气、噪声监测可委托</w:t>
            </w:r>
            <w:r>
              <w:rPr>
                <w:rFonts w:hint="eastAsia" w:ascii="宋体" w:hAnsi="宋体" w:eastAsia="宋体" w:cs="宋体"/>
                <w:sz w:val="24"/>
                <w:szCs w:val="24"/>
              </w:rPr>
              <w:t>第三方有资质单位</w:t>
            </w:r>
            <w:r>
              <w:rPr>
                <w:rFonts w:ascii="宋体" w:hAnsi="宋体" w:eastAsia="宋体" w:cs="宋体"/>
                <w:sz w:val="24"/>
                <w:szCs w:val="24"/>
              </w:rPr>
              <w:t>进行，建设单位须将监测费列入年度计划中</w:t>
            </w:r>
            <w:r>
              <w:rPr>
                <w:rFonts w:hint="eastAsia" w:ascii="宋体" w:hAnsi="宋体" w:eastAsia="宋体" w:cs="宋体"/>
                <w:sz w:val="24"/>
                <w:szCs w:val="24"/>
              </w:rPr>
              <w:t>。</w:t>
            </w:r>
          </w:p>
          <w:p>
            <w:pPr>
              <w:snapToGrid w:val="0"/>
              <w:spacing w:line="360" w:lineRule="auto"/>
              <w:ind w:firstLine="480" w:firstLineChars="200"/>
              <w:jc w:val="center"/>
              <w:rPr>
                <w:rFonts w:ascii="宋体" w:hAnsi="宋体" w:eastAsia="宋体" w:cs="宋体"/>
                <w:sz w:val="24"/>
                <w:szCs w:val="24"/>
              </w:rPr>
            </w:pPr>
            <w:r>
              <w:rPr>
                <w:rFonts w:hint="eastAsia" w:ascii="宋体" w:hAnsi="宋体" w:eastAsia="宋体" w:cs="宋体"/>
                <w:sz w:val="24"/>
                <w:szCs w:val="24"/>
              </w:rPr>
              <w:t>表</w:t>
            </w:r>
            <w:r>
              <w:rPr>
                <w:rFonts w:ascii="宋体" w:hAnsi="宋体" w:eastAsia="宋体" w:cs="宋体"/>
                <w:sz w:val="24"/>
                <w:szCs w:val="24"/>
              </w:rPr>
              <w:t xml:space="preserve">7-9    </w:t>
            </w:r>
            <w:r>
              <w:rPr>
                <w:rFonts w:hint="eastAsia" w:ascii="宋体" w:hAnsi="宋体" w:eastAsia="宋体" w:cs="宋体"/>
                <w:sz w:val="24"/>
                <w:szCs w:val="24"/>
              </w:rPr>
              <w:t>环境监测项目</w:t>
            </w:r>
          </w:p>
          <w:tbl>
            <w:tblPr>
              <w:tblStyle w:val="26"/>
              <w:tblW w:w="8340"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2213"/>
              <w:gridCol w:w="2726"/>
              <w:gridCol w:w="2296"/>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105" w:type="dxa"/>
                  <w:tcBorders>
                    <w:tl2br w:val="nil"/>
                    <w:tr2bl w:val="nil"/>
                  </w:tcBorders>
                </w:tcPr>
                <w:p>
                  <w:pPr>
                    <w:snapToGrid w:val="0"/>
                    <w:jc w:val="center"/>
                    <w:rPr>
                      <w:rFonts w:eastAsia="宋体"/>
                      <w:sz w:val="21"/>
                      <w:szCs w:val="21"/>
                    </w:rPr>
                  </w:pPr>
                  <w:r>
                    <w:rPr>
                      <w:rFonts w:eastAsia="宋体"/>
                      <w:sz w:val="21"/>
                      <w:szCs w:val="21"/>
                    </w:rPr>
                    <w:t>监测内容</w:t>
                  </w:r>
                </w:p>
              </w:tc>
              <w:tc>
                <w:tcPr>
                  <w:tcW w:w="2213" w:type="dxa"/>
                  <w:tcBorders>
                    <w:tl2br w:val="nil"/>
                    <w:tr2bl w:val="nil"/>
                  </w:tcBorders>
                </w:tcPr>
                <w:p>
                  <w:pPr>
                    <w:snapToGrid w:val="0"/>
                    <w:jc w:val="center"/>
                    <w:rPr>
                      <w:rFonts w:eastAsia="宋体"/>
                      <w:sz w:val="21"/>
                      <w:szCs w:val="21"/>
                    </w:rPr>
                  </w:pPr>
                  <w:r>
                    <w:rPr>
                      <w:rFonts w:hint="eastAsia" w:eastAsia="宋体"/>
                      <w:sz w:val="21"/>
                      <w:szCs w:val="21"/>
                    </w:rPr>
                    <w:t>点位</w:t>
                  </w:r>
                </w:p>
              </w:tc>
              <w:tc>
                <w:tcPr>
                  <w:tcW w:w="2726" w:type="dxa"/>
                  <w:tcBorders>
                    <w:tl2br w:val="nil"/>
                    <w:tr2bl w:val="nil"/>
                  </w:tcBorders>
                </w:tcPr>
                <w:p>
                  <w:pPr>
                    <w:snapToGrid w:val="0"/>
                    <w:jc w:val="center"/>
                    <w:rPr>
                      <w:rFonts w:eastAsia="宋体"/>
                      <w:sz w:val="21"/>
                      <w:szCs w:val="21"/>
                    </w:rPr>
                  </w:pPr>
                  <w:r>
                    <w:rPr>
                      <w:rFonts w:hint="eastAsia" w:eastAsia="宋体"/>
                      <w:sz w:val="21"/>
                      <w:szCs w:val="21"/>
                    </w:rPr>
                    <w:t>监测项目</w:t>
                  </w:r>
                </w:p>
              </w:tc>
              <w:tc>
                <w:tcPr>
                  <w:tcW w:w="2296" w:type="dxa"/>
                  <w:tcBorders>
                    <w:tl2br w:val="nil"/>
                    <w:tr2bl w:val="nil"/>
                  </w:tcBorders>
                </w:tcPr>
                <w:p>
                  <w:pPr>
                    <w:snapToGrid w:val="0"/>
                    <w:jc w:val="center"/>
                    <w:rPr>
                      <w:rFonts w:eastAsia="宋体"/>
                      <w:sz w:val="21"/>
                      <w:szCs w:val="21"/>
                    </w:rPr>
                  </w:pPr>
                  <w:r>
                    <w:rPr>
                      <w:rFonts w:hint="eastAsia" w:eastAsia="宋体"/>
                      <w:sz w:val="21"/>
                      <w:szCs w:val="21"/>
                    </w:rPr>
                    <w:t>监测频率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105" w:type="dxa"/>
                  <w:vMerge w:val="restart"/>
                  <w:tcBorders>
                    <w:tl2br w:val="nil"/>
                    <w:tr2bl w:val="nil"/>
                  </w:tcBorders>
                </w:tcPr>
                <w:p>
                  <w:pPr>
                    <w:snapToGrid w:val="0"/>
                    <w:jc w:val="center"/>
                    <w:rPr>
                      <w:rFonts w:eastAsia="宋体"/>
                      <w:sz w:val="21"/>
                      <w:szCs w:val="21"/>
                    </w:rPr>
                  </w:pPr>
                </w:p>
                <w:p>
                  <w:pPr>
                    <w:snapToGrid w:val="0"/>
                    <w:jc w:val="center"/>
                    <w:rPr>
                      <w:rFonts w:eastAsia="宋体"/>
                      <w:sz w:val="21"/>
                      <w:szCs w:val="21"/>
                    </w:rPr>
                  </w:pPr>
                  <w:r>
                    <w:rPr>
                      <w:rFonts w:hint="eastAsia" w:eastAsia="宋体"/>
                      <w:sz w:val="21"/>
                      <w:szCs w:val="21"/>
                    </w:rPr>
                    <w:t>废气</w:t>
                  </w:r>
                </w:p>
              </w:tc>
              <w:tc>
                <w:tcPr>
                  <w:tcW w:w="2213" w:type="dxa"/>
                  <w:vMerge w:val="restart"/>
                  <w:tcBorders>
                    <w:tl2br w:val="nil"/>
                    <w:tr2bl w:val="nil"/>
                  </w:tcBorders>
                  <w:vAlign w:val="center"/>
                </w:tcPr>
                <w:p>
                  <w:pPr>
                    <w:snapToGrid w:val="0"/>
                    <w:jc w:val="center"/>
                    <w:rPr>
                      <w:rFonts w:eastAsia="宋体"/>
                      <w:sz w:val="21"/>
                      <w:szCs w:val="21"/>
                    </w:rPr>
                  </w:pPr>
                  <w:r>
                    <w:rPr>
                      <w:rFonts w:hint="eastAsia" w:eastAsia="宋体"/>
                      <w:sz w:val="21"/>
                      <w:szCs w:val="21"/>
                    </w:rPr>
                    <w:t>P1排气筒</w:t>
                  </w:r>
                </w:p>
              </w:tc>
              <w:tc>
                <w:tcPr>
                  <w:tcW w:w="2726" w:type="dxa"/>
                  <w:tcBorders>
                    <w:tl2br w:val="nil"/>
                    <w:tr2bl w:val="nil"/>
                  </w:tcBorders>
                </w:tcPr>
                <w:p>
                  <w:pPr>
                    <w:snapToGrid w:val="0"/>
                    <w:jc w:val="center"/>
                    <w:rPr>
                      <w:rFonts w:eastAsia="宋体"/>
                      <w:sz w:val="21"/>
                      <w:szCs w:val="21"/>
                    </w:rPr>
                  </w:pPr>
                  <w:r>
                    <w:rPr>
                      <w:rFonts w:hint="eastAsia" w:eastAsia="宋体"/>
                      <w:sz w:val="21"/>
                      <w:szCs w:val="21"/>
                    </w:rPr>
                    <w:t>颗粒物</w:t>
                  </w:r>
                </w:p>
              </w:tc>
              <w:tc>
                <w:tcPr>
                  <w:tcW w:w="2296" w:type="dxa"/>
                  <w:tcBorders>
                    <w:tl2br w:val="nil"/>
                    <w:tr2bl w:val="nil"/>
                  </w:tcBorders>
                </w:tcPr>
                <w:p>
                  <w:pPr>
                    <w:snapToGrid w:val="0"/>
                    <w:jc w:val="center"/>
                    <w:rPr>
                      <w:rFonts w:eastAsia="宋体"/>
                      <w:sz w:val="21"/>
                      <w:szCs w:val="21"/>
                    </w:rPr>
                  </w:pPr>
                  <w:r>
                    <w:rPr>
                      <w:rFonts w:hint="eastAsia" w:eastAsia="宋体"/>
                      <w:sz w:val="21"/>
                      <w:szCs w:val="21"/>
                    </w:rPr>
                    <w:t>每年一次</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105" w:type="dxa"/>
                  <w:vMerge w:val="continue"/>
                  <w:tcBorders>
                    <w:tl2br w:val="nil"/>
                    <w:tr2bl w:val="nil"/>
                  </w:tcBorders>
                </w:tcPr>
                <w:p>
                  <w:pPr>
                    <w:snapToGrid w:val="0"/>
                    <w:jc w:val="center"/>
                    <w:rPr>
                      <w:rFonts w:eastAsia="宋体"/>
                      <w:sz w:val="21"/>
                      <w:szCs w:val="21"/>
                    </w:rPr>
                  </w:pPr>
                </w:p>
              </w:tc>
              <w:tc>
                <w:tcPr>
                  <w:tcW w:w="2213" w:type="dxa"/>
                  <w:vMerge w:val="continue"/>
                  <w:tcBorders>
                    <w:tl2br w:val="nil"/>
                    <w:tr2bl w:val="nil"/>
                  </w:tcBorders>
                </w:tcPr>
                <w:p>
                  <w:pPr>
                    <w:snapToGrid w:val="0"/>
                    <w:jc w:val="center"/>
                    <w:rPr>
                      <w:rFonts w:eastAsia="宋体"/>
                      <w:sz w:val="21"/>
                      <w:szCs w:val="21"/>
                    </w:rPr>
                  </w:pPr>
                </w:p>
              </w:tc>
              <w:tc>
                <w:tcPr>
                  <w:tcW w:w="2726" w:type="dxa"/>
                  <w:tcBorders>
                    <w:tl2br w:val="nil"/>
                    <w:tr2bl w:val="nil"/>
                  </w:tcBorders>
                </w:tcPr>
                <w:p>
                  <w:pPr>
                    <w:snapToGrid w:val="0"/>
                    <w:jc w:val="center"/>
                    <w:rPr>
                      <w:rFonts w:eastAsia="宋体"/>
                      <w:sz w:val="21"/>
                      <w:szCs w:val="21"/>
                    </w:rPr>
                  </w:pPr>
                  <w:r>
                    <w:rPr>
                      <w:rFonts w:hint="eastAsia" w:eastAsia="宋体"/>
                      <w:sz w:val="21"/>
                      <w:szCs w:val="21"/>
                    </w:rPr>
                    <w:t>非甲烷总烃</w:t>
                  </w:r>
                </w:p>
              </w:tc>
              <w:tc>
                <w:tcPr>
                  <w:tcW w:w="2296" w:type="dxa"/>
                  <w:tcBorders>
                    <w:tl2br w:val="nil"/>
                    <w:tr2bl w:val="nil"/>
                  </w:tcBorders>
                </w:tcPr>
                <w:p>
                  <w:pPr>
                    <w:snapToGrid w:val="0"/>
                    <w:jc w:val="center"/>
                    <w:rPr>
                      <w:rFonts w:eastAsia="宋体"/>
                      <w:sz w:val="21"/>
                      <w:szCs w:val="21"/>
                    </w:rPr>
                  </w:pPr>
                  <w:r>
                    <w:rPr>
                      <w:rFonts w:hint="eastAsia" w:eastAsia="宋体"/>
                      <w:sz w:val="21"/>
                      <w:szCs w:val="21"/>
                    </w:rPr>
                    <w:t>每年一次</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105" w:type="dxa"/>
                  <w:tcBorders>
                    <w:tl2br w:val="nil"/>
                    <w:tr2bl w:val="nil"/>
                  </w:tcBorders>
                </w:tcPr>
                <w:p>
                  <w:pPr>
                    <w:snapToGrid w:val="0"/>
                    <w:jc w:val="center"/>
                    <w:rPr>
                      <w:rFonts w:eastAsia="宋体"/>
                      <w:sz w:val="21"/>
                      <w:szCs w:val="21"/>
                    </w:rPr>
                  </w:pPr>
                  <w:r>
                    <w:rPr>
                      <w:rFonts w:hint="eastAsia" w:eastAsia="宋体"/>
                      <w:sz w:val="21"/>
                      <w:szCs w:val="21"/>
                    </w:rPr>
                    <w:t>噪声</w:t>
                  </w:r>
                </w:p>
              </w:tc>
              <w:tc>
                <w:tcPr>
                  <w:tcW w:w="2213" w:type="dxa"/>
                  <w:tcBorders>
                    <w:tl2br w:val="nil"/>
                    <w:tr2bl w:val="nil"/>
                  </w:tcBorders>
                </w:tcPr>
                <w:p>
                  <w:pPr>
                    <w:snapToGrid w:val="0"/>
                    <w:jc w:val="center"/>
                    <w:rPr>
                      <w:rFonts w:eastAsia="宋体"/>
                      <w:sz w:val="21"/>
                      <w:szCs w:val="21"/>
                    </w:rPr>
                  </w:pPr>
                  <w:r>
                    <w:rPr>
                      <w:rFonts w:hint="eastAsia" w:eastAsia="宋体"/>
                      <w:sz w:val="21"/>
                      <w:szCs w:val="21"/>
                    </w:rPr>
                    <w:t>东、南、西、北厂界</w:t>
                  </w:r>
                </w:p>
              </w:tc>
              <w:tc>
                <w:tcPr>
                  <w:tcW w:w="2726" w:type="dxa"/>
                  <w:tcBorders>
                    <w:tl2br w:val="nil"/>
                    <w:tr2bl w:val="nil"/>
                  </w:tcBorders>
                </w:tcPr>
                <w:p>
                  <w:pPr>
                    <w:snapToGrid w:val="0"/>
                    <w:jc w:val="center"/>
                    <w:rPr>
                      <w:rFonts w:eastAsia="宋体"/>
                      <w:sz w:val="21"/>
                      <w:szCs w:val="21"/>
                    </w:rPr>
                  </w:pPr>
                  <w:r>
                    <w:rPr>
                      <w:rFonts w:hint="eastAsia" w:eastAsia="宋体"/>
                      <w:sz w:val="21"/>
                      <w:szCs w:val="21"/>
                    </w:rPr>
                    <w:t>等效连续A声级</w:t>
                  </w:r>
                </w:p>
              </w:tc>
              <w:tc>
                <w:tcPr>
                  <w:tcW w:w="2296" w:type="dxa"/>
                  <w:tcBorders>
                    <w:tl2br w:val="nil"/>
                    <w:tr2bl w:val="nil"/>
                  </w:tcBorders>
                </w:tcPr>
                <w:p>
                  <w:pPr>
                    <w:snapToGrid w:val="0"/>
                    <w:jc w:val="center"/>
                    <w:rPr>
                      <w:rFonts w:eastAsia="宋体"/>
                      <w:sz w:val="21"/>
                      <w:szCs w:val="21"/>
                    </w:rPr>
                  </w:pPr>
                  <w:r>
                    <w:rPr>
                      <w:rFonts w:hint="eastAsia" w:eastAsia="宋体"/>
                      <w:sz w:val="21"/>
                      <w:szCs w:val="21"/>
                    </w:rPr>
                    <w:t>每季度一次</w:t>
                  </w:r>
                </w:p>
              </w:tc>
            </w:tr>
          </w:tbl>
          <w:p>
            <w:pPr>
              <w:rPr>
                <w:rFonts w:ascii="宋体" w:hAnsi="宋体" w:eastAsia="宋体"/>
                <w:b/>
                <w:color w:val="FF0000"/>
                <w:sz w:val="24"/>
                <w:szCs w:val="24"/>
              </w:rPr>
            </w:pPr>
          </w:p>
          <w:p>
            <w:pPr>
              <w:rPr>
                <w:rFonts w:ascii="宋体" w:hAnsi="宋体" w:eastAsia="宋体"/>
                <w:b/>
                <w:sz w:val="24"/>
                <w:szCs w:val="24"/>
              </w:rPr>
            </w:pPr>
            <w:r>
              <w:rPr>
                <w:rFonts w:hint="eastAsia" w:ascii="宋体" w:hAnsi="宋体" w:eastAsia="宋体"/>
                <w:b/>
                <w:sz w:val="24"/>
                <w:szCs w:val="24"/>
              </w:rPr>
              <w:t>环保“三同时”验收</w:t>
            </w:r>
          </w:p>
          <w:p>
            <w:pPr>
              <w:ind w:firstLine="480"/>
              <w:rPr>
                <w:rFonts w:ascii="宋体" w:hAnsi="宋体" w:eastAsia="宋体"/>
                <w:sz w:val="24"/>
                <w:szCs w:val="24"/>
              </w:rPr>
            </w:pPr>
            <w:r>
              <w:rPr>
                <w:rFonts w:ascii="宋体" w:hAnsi="宋体" w:eastAsia="宋体"/>
                <w:sz w:val="24"/>
                <w:szCs w:val="24"/>
              </w:rPr>
              <w:t>本项目“三同时”验收内容一览表见表</w:t>
            </w:r>
            <w:r>
              <w:rPr>
                <w:rFonts w:eastAsia="宋体"/>
                <w:sz w:val="24"/>
                <w:szCs w:val="24"/>
              </w:rPr>
              <w:t>7-9</w:t>
            </w:r>
            <w:r>
              <w:rPr>
                <w:rFonts w:ascii="宋体" w:hAnsi="宋体" w:eastAsia="宋体"/>
                <w:sz w:val="24"/>
                <w:szCs w:val="24"/>
              </w:rPr>
              <w:t>。</w:t>
            </w:r>
          </w:p>
          <w:p>
            <w:pPr>
              <w:ind w:firstLine="480"/>
              <w:jc w:val="center"/>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 xml:space="preserve">7-10  </w:t>
            </w:r>
            <w:r>
              <w:rPr>
                <w:rFonts w:hint="eastAsia" w:ascii="宋体" w:hAnsi="宋体" w:eastAsia="宋体"/>
                <w:sz w:val="24"/>
                <w:szCs w:val="24"/>
              </w:rPr>
              <w:t>本项目“三同时”主要验收内容</w:t>
            </w:r>
          </w:p>
          <w:tbl>
            <w:tblPr>
              <w:tblStyle w:val="25"/>
              <w:tblW w:w="8182" w:type="dxa"/>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48"/>
              <w:gridCol w:w="1135"/>
              <w:gridCol w:w="1290"/>
              <w:gridCol w:w="3171"/>
              <w:gridCol w:w="2038"/>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25" w:hRule="atLeast"/>
                <w:tblHeader/>
                <w:jc w:val="center"/>
              </w:trPr>
              <w:tc>
                <w:tcPr>
                  <w:tcW w:w="548" w:type="dxa"/>
                  <w:vAlign w:val="center"/>
                </w:tcPr>
                <w:p>
                  <w:pPr>
                    <w:adjustRightInd w:val="0"/>
                    <w:snapToGrid w:val="0"/>
                    <w:jc w:val="center"/>
                    <w:rPr>
                      <w:rFonts w:ascii="宋体" w:hAnsi="宋体" w:eastAsia="宋体"/>
                      <w:sz w:val="21"/>
                      <w:szCs w:val="21"/>
                    </w:rPr>
                  </w:pPr>
                  <w:r>
                    <w:rPr>
                      <w:rFonts w:ascii="宋体" w:hAnsi="宋体" w:eastAsia="宋体"/>
                      <w:sz w:val="21"/>
                      <w:szCs w:val="21"/>
                    </w:rPr>
                    <w:t>项目</w:t>
                  </w:r>
                </w:p>
              </w:tc>
              <w:tc>
                <w:tcPr>
                  <w:tcW w:w="1135" w:type="dxa"/>
                  <w:vAlign w:val="center"/>
                </w:tcPr>
                <w:p>
                  <w:pPr>
                    <w:adjustRightInd w:val="0"/>
                    <w:snapToGrid w:val="0"/>
                    <w:jc w:val="center"/>
                    <w:rPr>
                      <w:rFonts w:ascii="宋体" w:hAnsi="宋体" w:eastAsia="宋体"/>
                      <w:sz w:val="21"/>
                      <w:szCs w:val="21"/>
                    </w:rPr>
                  </w:pPr>
                  <w:r>
                    <w:rPr>
                      <w:rFonts w:ascii="宋体" w:hAnsi="宋体" w:eastAsia="宋体"/>
                      <w:sz w:val="21"/>
                      <w:szCs w:val="21"/>
                    </w:rPr>
                    <w:t>污染源</w:t>
                  </w:r>
                </w:p>
                <w:p>
                  <w:pPr>
                    <w:adjustRightInd w:val="0"/>
                    <w:snapToGrid w:val="0"/>
                    <w:jc w:val="center"/>
                    <w:rPr>
                      <w:rFonts w:ascii="宋体" w:hAnsi="宋体" w:eastAsia="宋体"/>
                      <w:sz w:val="21"/>
                      <w:szCs w:val="21"/>
                    </w:rPr>
                  </w:pPr>
                  <w:r>
                    <w:rPr>
                      <w:rFonts w:ascii="宋体" w:hAnsi="宋体" w:eastAsia="宋体"/>
                      <w:sz w:val="21"/>
                      <w:szCs w:val="21"/>
                    </w:rPr>
                    <w:t>点位</w:t>
                  </w:r>
                </w:p>
              </w:tc>
              <w:tc>
                <w:tcPr>
                  <w:tcW w:w="1290" w:type="dxa"/>
                  <w:vAlign w:val="center"/>
                </w:tcPr>
                <w:p>
                  <w:pPr>
                    <w:adjustRightInd w:val="0"/>
                    <w:snapToGrid w:val="0"/>
                    <w:jc w:val="center"/>
                    <w:rPr>
                      <w:rFonts w:ascii="宋体" w:hAnsi="宋体" w:eastAsia="宋体"/>
                      <w:sz w:val="21"/>
                      <w:szCs w:val="21"/>
                    </w:rPr>
                  </w:pPr>
                  <w:r>
                    <w:rPr>
                      <w:rFonts w:ascii="宋体" w:hAnsi="宋体" w:eastAsia="宋体"/>
                      <w:sz w:val="21"/>
                      <w:szCs w:val="21"/>
                    </w:rPr>
                    <w:t>污染因子</w:t>
                  </w:r>
                </w:p>
              </w:tc>
              <w:tc>
                <w:tcPr>
                  <w:tcW w:w="3171" w:type="dxa"/>
                  <w:vAlign w:val="center"/>
                </w:tcPr>
                <w:p>
                  <w:pPr>
                    <w:adjustRightInd w:val="0"/>
                    <w:snapToGrid w:val="0"/>
                    <w:jc w:val="center"/>
                    <w:rPr>
                      <w:rFonts w:ascii="宋体" w:hAnsi="宋体" w:eastAsia="宋体"/>
                      <w:sz w:val="21"/>
                      <w:szCs w:val="21"/>
                    </w:rPr>
                  </w:pPr>
                  <w:r>
                    <w:rPr>
                      <w:rFonts w:ascii="宋体" w:hAnsi="宋体" w:eastAsia="宋体"/>
                      <w:sz w:val="21"/>
                      <w:szCs w:val="21"/>
                    </w:rPr>
                    <w:t>防治措施</w:t>
                  </w:r>
                </w:p>
              </w:tc>
              <w:tc>
                <w:tcPr>
                  <w:tcW w:w="2038"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验收</w:t>
                  </w:r>
                  <w:r>
                    <w:rPr>
                      <w:rFonts w:ascii="宋体" w:hAnsi="宋体" w:eastAsia="宋体"/>
                      <w:sz w:val="21"/>
                      <w:szCs w:val="21"/>
                    </w:rPr>
                    <w:t>标准</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2" w:hRule="atLeast"/>
                <w:jc w:val="center"/>
              </w:trPr>
              <w:tc>
                <w:tcPr>
                  <w:tcW w:w="548" w:type="dxa"/>
                  <w:vMerge w:val="restart"/>
                  <w:vAlign w:val="center"/>
                </w:tcPr>
                <w:p>
                  <w:pPr>
                    <w:adjustRightInd w:val="0"/>
                    <w:snapToGrid w:val="0"/>
                    <w:jc w:val="center"/>
                    <w:rPr>
                      <w:rFonts w:eastAsia="宋体"/>
                      <w:sz w:val="21"/>
                      <w:szCs w:val="21"/>
                    </w:rPr>
                  </w:pPr>
                  <w:r>
                    <w:rPr>
                      <w:rFonts w:eastAsia="宋体"/>
                      <w:sz w:val="21"/>
                      <w:szCs w:val="21"/>
                    </w:rPr>
                    <w:t>废气</w:t>
                  </w:r>
                </w:p>
              </w:tc>
              <w:tc>
                <w:tcPr>
                  <w:tcW w:w="1135" w:type="dxa"/>
                  <w:vMerge w:val="restart"/>
                  <w:vAlign w:val="center"/>
                </w:tcPr>
                <w:p>
                  <w:pPr>
                    <w:adjustRightInd w:val="0"/>
                    <w:snapToGrid w:val="0"/>
                    <w:jc w:val="center"/>
                    <w:rPr>
                      <w:rFonts w:eastAsia="宋体"/>
                      <w:sz w:val="21"/>
                      <w:szCs w:val="21"/>
                    </w:rPr>
                  </w:pPr>
                  <w:r>
                    <w:rPr>
                      <w:rFonts w:hint="eastAsia" w:eastAsia="宋体"/>
                      <w:sz w:val="21"/>
                      <w:szCs w:val="21"/>
                    </w:rPr>
                    <w:t>P</w:t>
                  </w:r>
                  <w:r>
                    <w:rPr>
                      <w:rFonts w:eastAsia="宋体"/>
                      <w:sz w:val="21"/>
                      <w:szCs w:val="21"/>
                    </w:rPr>
                    <w:t>1</w:t>
                  </w:r>
                  <w:r>
                    <w:rPr>
                      <w:rFonts w:hint="eastAsia" w:eastAsia="宋体"/>
                      <w:sz w:val="21"/>
                      <w:szCs w:val="21"/>
                    </w:rPr>
                    <w:t>排气筒</w:t>
                  </w:r>
                </w:p>
              </w:tc>
              <w:tc>
                <w:tcPr>
                  <w:tcW w:w="1290" w:type="dxa"/>
                  <w:vAlign w:val="center"/>
                </w:tcPr>
                <w:p>
                  <w:pPr>
                    <w:adjustRightInd w:val="0"/>
                    <w:snapToGrid w:val="0"/>
                    <w:jc w:val="center"/>
                    <w:rPr>
                      <w:rFonts w:eastAsia="宋体"/>
                      <w:sz w:val="21"/>
                      <w:szCs w:val="21"/>
                    </w:rPr>
                  </w:pPr>
                  <w:r>
                    <w:rPr>
                      <w:rFonts w:hint="eastAsia" w:eastAsia="宋体"/>
                      <w:sz w:val="21"/>
                      <w:szCs w:val="21"/>
                    </w:rPr>
                    <w:t>颗粒物</w:t>
                  </w:r>
                </w:p>
              </w:tc>
              <w:tc>
                <w:tcPr>
                  <w:tcW w:w="3171" w:type="dxa"/>
                  <w:vMerge w:val="restart"/>
                  <w:vAlign w:val="center"/>
                </w:tcPr>
                <w:p>
                  <w:pPr>
                    <w:adjustRightInd w:val="0"/>
                    <w:snapToGrid w:val="0"/>
                    <w:jc w:val="center"/>
                    <w:rPr>
                      <w:rFonts w:eastAsia="宋体"/>
                      <w:sz w:val="21"/>
                      <w:szCs w:val="21"/>
                    </w:rPr>
                  </w:pPr>
                  <w:r>
                    <w:rPr>
                      <w:rFonts w:hint="eastAsia" w:eastAsia="宋体"/>
                      <w:sz w:val="21"/>
                      <w:szCs w:val="21"/>
                    </w:rPr>
                    <w:t>厂房全封闭，经收集（收集效率</w:t>
                  </w:r>
                  <w:r>
                    <w:rPr>
                      <w:rFonts w:eastAsia="宋体"/>
                      <w:sz w:val="21"/>
                      <w:szCs w:val="21"/>
                    </w:rPr>
                    <w:t>90%</w:t>
                  </w:r>
                  <w:r>
                    <w:rPr>
                      <w:rFonts w:hint="eastAsia" w:eastAsia="宋体"/>
                      <w:sz w:val="21"/>
                      <w:szCs w:val="21"/>
                    </w:rPr>
                    <w:t>）后通过中央除尘系统处理（处理效率</w:t>
                  </w:r>
                  <w:r>
                    <w:rPr>
                      <w:rFonts w:eastAsia="宋体"/>
                      <w:sz w:val="21"/>
                      <w:szCs w:val="21"/>
                    </w:rPr>
                    <w:t>99%</w:t>
                  </w:r>
                  <w:r>
                    <w:rPr>
                      <w:rFonts w:hint="eastAsia" w:eastAsia="宋体"/>
                      <w:sz w:val="21"/>
                      <w:szCs w:val="21"/>
                    </w:rPr>
                    <w:t>，）经活性炭吸附后，由</w:t>
                  </w:r>
                  <w:r>
                    <w:rPr>
                      <w:rFonts w:eastAsia="宋体"/>
                      <w:sz w:val="21"/>
                      <w:szCs w:val="21"/>
                    </w:rPr>
                    <w:t>15m</w:t>
                  </w:r>
                  <w:r>
                    <w:rPr>
                      <w:rFonts w:hint="eastAsia" w:eastAsia="宋体"/>
                      <w:sz w:val="21"/>
                      <w:szCs w:val="21"/>
                    </w:rPr>
                    <w:t>排气筒</w:t>
                  </w:r>
                  <w:r>
                    <w:rPr>
                      <w:rFonts w:eastAsia="宋体"/>
                      <w:sz w:val="21"/>
                      <w:szCs w:val="21"/>
                    </w:rPr>
                    <w:t>P1</w:t>
                  </w:r>
                  <w:r>
                    <w:rPr>
                      <w:rFonts w:hint="eastAsia" w:eastAsia="宋体"/>
                      <w:sz w:val="21"/>
                      <w:szCs w:val="21"/>
                    </w:rPr>
                    <w:t>排放</w:t>
                  </w:r>
                </w:p>
              </w:tc>
              <w:tc>
                <w:tcPr>
                  <w:tcW w:w="2038" w:type="dxa"/>
                  <w:vMerge w:val="restart"/>
                  <w:vAlign w:val="center"/>
                </w:tcPr>
                <w:p>
                  <w:pPr>
                    <w:adjustRightInd w:val="0"/>
                    <w:snapToGrid w:val="0"/>
                    <w:jc w:val="center"/>
                    <w:rPr>
                      <w:rFonts w:eastAsia="宋体"/>
                      <w:color w:val="FF0000"/>
                      <w:sz w:val="21"/>
                      <w:szCs w:val="21"/>
                    </w:rPr>
                  </w:pPr>
                  <w:r>
                    <w:rPr>
                      <w:sz w:val="21"/>
                      <w:szCs w:val="21"/>
                    </w:rPr>
                    <w:t>《大气污染物综合排放标准》（GB16297-1996）</w:t>
                  </w:r>
                  <w:r>
                    <w:rPr>
                      <w:rFonts w:hint="eastAsia"/>
                      <w:sz w:val="21"/>
                      <w:szCs w:val="21"/>
                    </w:rPr>
                    <w:t>新污染源污染物</w:t>
                  </w:r>
                  <w:r>
                    <w:rPr>
                      <w:sz w:val="21"/>
                      <w:szCs w:val="21"/>
                    </w:rPr>
                    <w:t>二级标准限值</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5" w:hRule="atLeast"/>
                <w:jc w:val="center"/>
              </w:trPr>
              <w:tc>
                <w:tcPr>
                  <w:tcW w:w="548" w:type="dxa"/>
                  <w:vMerge w:val="continue"/>
                  <w:vAlign w:val="center"/>
                </w:tcPr>
                <w:p>
                  <w:pPr>
                    <w:adjustRightInd w:val="0"/>
                    <w:snapToGrid w:val="0"/>
                    <w:jc w:val="center"/>
                    <w:rPr>
                      <w:rFonts w:eastAsia="宋体"/>
                      <w:sz w:val="21"/>
                      <w:szCs w:val="21"/>
                    </w:rPr>
                  </w:pPr>
                </w:p>
              </w:tc>
              <w:tc>
                <w:tcPr>
                  <w:tcW w:w="1135" w:type="dxa"/>
                  <w:vMerge w:val="continue"/>
                  <w:vAlign w:val="center"/>
                </w:tcPr>
                <w:p>
                  <w:pPr>
                    <w:adjustRightInd w:val="0"/>
                    <w:snapToGrid w:val="0"/>
                    <w:jc w:val="center"/>
                    <w:rPr>
                      <w:rFonts w:eastAsia="宋体"/>
                      <w:sz w:val="21"/>
                      <w:szCs w:val="21"/>
                    </w:rPr>
                  </w:pPr>
                </w:p>
              </w:tc>
              <w:tc>
                <w:tcPr>
                  <w:tcW w:w="1290" w:type="dxa"/>
                  <w:vAlign w:val="center"/>
                </w:tcPr>
                <w:p>
                  <w:pPr>
                    <w:adjustRightInd w:val="0"/>
                    <w:snapToGrid w:val="0"/>
                    <w:jc w:val="center"/>
                    <w:rPr>
                      <w:rFonts w:eastAsia="宋体"/>
                      <w:sz w:val="21"/>
                      <w:szCs w:val="21"/>
                    </w:rPr>
                  </w:pPr>
                  <w:r>
                    <w:rPr>
                      <w:rFonts w:hint="eastAsia" w:eastAsia="宋体"/>
                      <w:sz w:val="21"/>
                      <w:szCs w:val="21"/>
                    </w:rPr>
                    <w:t>非甲烷总烃</w:t>
                  </w:r>
                </w:p>
              </w:tc>
              <w:tc>
                <w:tcPr>
                  <w:tcW w:w="3171" w:type="dxa"/>
                  <w:vMerge w:val="continue"/>
                  <w:vAlign w:val="center"/>
                </w:tcPr>
                <w:p>
                  <w:pPr>
                    <w:adjustRightInd w:val="0"/>
                    <w:snapToGrid w:val="0"/>
                    <w:jc w:val="center"/>
                    <w:rPr>
                      <w:rFonts w:eastAsia="宋体"/>
                      <w:sz w:val="21"/>
                      <w:szCs w:val="21"/>
                    </w:rPr>
                  </w:pPr>
                </w:p>
              </w:tc>
              <w:tc>
                <w:tcPr>
                  <w:tcW w:w="2038" w:type="dxa"/>
                  <w:vMerge w:val="continue"/>
                  <w:vAlign w:val="center"/>
                </w:tcPr>
                <w:p>
                  <w:pPr>
                    <w:adjustRightInd w:val="0"/>
                    <w:snapToGrid w:val="0"/>
                    <w:jc w:val="center"/>
                    <w:rPr>
                      <w:rFonts w:eastAsia="宋体"/>
                      <w:color w:val="FF000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548" w:type="dxa"/>
                  <w:vMerge w:val="continue"/>
                  <w:vAlign w:val="center"/>
                </w:tcPr>
                <w:p>
                  <w:pPr>
                    <w:adjustRightInd w:val="0"/>
                    <w:snapToGrid w:val="0"/>
                    <w:jc w:val="center"/>
                    <w:rPr>
                      <w:rFonts w:eastAsia="宋体"/>
                      <w:color w:val="FF0000"/>
                      <w:sz w:val="21"/>
                      <w:szCs w:val="21"/>
                    </w:rPr>
                  </w:pPr>
                </w:p>
              </w:tc>
              <w:tc>
                <w:tcPr>
                  <w:tcW w:w="1135" w:type="dxa"/>
                  <w:vMerge w:val="continue"/>
                  <w:vAlign w:val="center"/>
                </w:tcPr>
                <w:p>
                  <w:pPr>
                    <w:adjustRightInd w:val="0"/>
                    <w:snapToGrid w:val="0"/>
                    <w:jc w:val="center"/>
                    <w:rPr>
                      <w:rFonts w:eastAsia="宋体"/>
                      <w:color w:val="FF0000"/>
                      <w:sz w:val="21"/>
                      <w:szCs w:val="21"/>
                    </w:rPr>
                  </w:pPr>
                </w:p>
              </w:tc>
              <w:tc>
                <w:tcPr>
                  <w:tcW w:w="1290" w:type="dxa"/>
                  <w:vAlign w:val="center"/>
                </w:tcPr>
                <w:p>
                  <w:pPr>
                    <w:adjustRightInd w:val="0"/>
                    <w:snapToGrid w:val="0"/>
                    <w:jc w:val="center"/>
                    <w:rPr>
                      <w:rFonts w:eastAsia="宋体"/>
                      <w:sz w:val="21"/>
                      <w:szCs w:val="21"/>
                    </w:rPr>
                  </w:pPr>
                  <w:r>
                    <w:rPr>
                      <w:rFonts w:eastAsia="宋体"/>
                      <w:sz w:val="21"/>
                      <w:szCs w:val="21"/>
                    </w:rPr>
                    <w:t>SO</w:t>
                  </w:r>
                  <w:r>
                    <w:rPr>
                      <w:rFonts w:eastAsia="宋体"/>
                      <w:sz w:val="21"/>
                      <w:szCs w:val="21"/>
                      <w:vertAlign w:val="subscript"/>
                    </w:rPr>
                    <w:t>2</w:t>
                  </w:r>
                </w:p>
              </w:tc>
              <w:tc>
                <w:tcPr>
                  <w:tcW w:w="3171" w:type="dxa"/>
                  <w:vMerge w:val="continue"/>
                  <w:vAlign w:val="center"/>
                </w:tcPr>
                <w:p>
                  <w:pPr>
                    <w:adjustRightInd w:val="0"/>
                    <w:snapToGrid w:val="0"/>
                    <w:jc w:val="center"/>
                    <w:rPr>
                      <w:rFonts w:ascii="宋体" w:hAnsi="宋体" w:eastAsia="宋体" w:cs="宋体"/>
                      <w:color w:val="FF0000"/>
                      <w:sz w:val="21"/>
                      <w:szCs w:val="21"/>
                    </w:rPr>
                  </w:pPr>
                </w:p>
              </w:tc>
              <w:tc>
                <w:tcPr>
                  <w:tcW w:w="2038" w:type="dxa"/>
                  <w:vMerge w:val="continue"/>
                  <w:vAlign w:val="center"/>
                </w:tcPr>
                <w:p>
                  <w:pPr>
                    <w:adjustRightInd w:val="0"/>
                    <w:snapToGrid w:val="0"/>
                    <w:jc w:val="center"/>
                    <w:rPr>
                      <w:rFonts w:eastAsia="宋体"/>
                      <w:color w:val="FF000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6" w:hRule="atLeast"/>
                <w:jc w:val="center"/>
              </w:trPr>
              <w:tc>
                <w:tcPr>
                  <w:tcW w:w="548" w:type="dxa"/>
                  <w:vMerge w:val="continue"/>
                  <w:vAlign w:val="center"/>
                </w:tcPr>
                <w:p>
                  <w:pPr>
                    <w:adjustRightInd w:val="0"/>
                    <w:snapToGrid w:val="0"/>
                    <w:jc w:val="center"/>
                    <w:rPr>
                      <w:rFonts w:eastAsia="宋体"/>
                      <w:color w:val="FF0000"/>
                      <w:sz w:val="21"/>
                      <w:szCs w:val="21"/>
                    </w:rPr>
                  </w:pPr>
                </w:p>
              </w:tc>
              <w:tc>
                <w:tcPr>
                  <w:tcW w:w="1135" w:type="dxa"/>
                  <w:vMerge w:val="continue"/>
                  <w:vAlign w:val="center"/>
                </w:tcPr>
                <w:p>
                  <w:pPr>
                    <w:adjustRightInd w:val="0"/>
                    <w:snapToGrid w:val="0"/>
                    <w:jc w:val="center"/>
                    <w:rPr>
                      <w:rFonts w:eastAsia="宋体"/>
                      <w:color w:val="FF0000"/>
                      <w:sz w:val="21"/>
                      <w:szCs w:val="21"/>
                    </w:rPr>
                  </w:pPr>
                </w:p>
              </w:tc>
              <w:tc>
                <w:tcPr>
                  <w:tcW w:w="1290" w:type="dxa"/>
                  <w:vAlign w:val="center"/>
                </w:tcPr>
                <w:p>
                  <w:pPr>
                    <w:snapToGrid w:val="0"/>
                    <w:ind w:right="-119" w:hanging="108"/>
                    <w:jc w:val="center"/>
                    <w:rPr>
                      <w:rFonts w:eastAsia="宋体"/>
                      <w:sz w:val="21"/>
                      <w:szCs w:val="21"/>
                    </w:rPr>
                  </w:pPr>
                  <w:r>
                    <w:rPr>
                      <w:rFonts w:eastAsia="宋体"/>
                      <w:sz w:val="21"/>
                      <w:szCs w:val="21"/>
                    </w:rPr>
                    <w:t>NO</w:t>
                  </w:r>
                  <w:r>
                    <w:rPr>
                      <w:rFonts w:eastAsia="宋体"/>
                      <w:sz w:val="21"/>
                      <w:szCs w:val="21"/>
                      <w:vertAlign w:val="subscript"/>
                    </w:rPr>
                    <w:t>X</w:t>
                  </w:r>
                </w:p>
              </w:tc>
              <w:tc>
                <w:tcPr>
                  <w:tcW w:w="3171" w:type="dxa"/>
                  <w:vMerge w:val="continue"/>
                  <w:vAlign w:val="center"/>
                </w:tcPr>
                <w:p>
                  <w:pPr>
                    <w:adjustRightInd w:val="0"/>
                    <w:snapToGrid w:val="0"/>
                    <w:jc w:val="center"/>
                    <w:rPr>
                      <w:rFonts w:ascii="宋体" w:hAnsi="宋体" w:eastAsia="宋体" w:cs="宋体"/>
                      <w:color w:val="FF0000"/>
                      <w:sz w:val="21"/>
                      <w:szCs w:val="21"/>
                    </w:rPr>
                  </w:pPr>
                </w:p>
              </w:tc>
              <w:tc>
                <w:tcPr>
                  <w:tcW w:w="2038" w:type="dxa"/>
                  <w:vMerge w:val="continue"/>
                  <w:vAlign w:val="center"/>
                </w:tcPr>
                <w:p>
                  <w:pPr>
                    <w:adjustRightInd w:val="0"/>
                    <w:snapToGrid w:val="0"/>
                    <w:jc w:val="center"/>
                    <w:rPr>
                      <w:rFonts w:eastAsia="宋体"/>
                      <w:color w:val="FF000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76" w:hRule="atLeast"/>
                <w:jc w:val="center"/>
              </w:trPr>
              <w:tc>
                <w:tcPr>
                  <w:tcW w:w="548" w:type="dxa"/>
                  <w:vMerge w:val="restart"/>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废水</w:t>
                  </w:r>
                </w:p>
              </w:tc>
              <w:tc>
                <w:tcPr>
                  <w:tcW w:w="1135" w:type="dxa"/>
                  <w:vAlign w:val="center"/>
                </w:tcPr>
                <w:p>
                  <w:pPr>
                    <w:adjustRightInd w:val="0"/>
                    <w:snapToGrid w:val="0"/>
                    <w:jc w:val="center"/>
                    <w:rPr>
                      <w:rFonts w:eastAsia="宋体"/>
                      <w:sz w:val="21"/>
                      <w:szCs w:val="21"/>
                    </w:rPr>
                  </w:pPr>
                  <w:r>
                    <w:rPr>
                      <w:rFonts w:hint="eastAsia" w:eastAsia="宋体"/>
                      <w:sz w:val="21"/>
                      <w:szCs w:val="21"/>
                    </w:rPr>
                    <w:t>员工生活</w:t>
                  </w:r>
                </w:p>
              </w:tc>
              <w:tc>
                <w:tcPr>
                  <w:tcW w:w="1290" w:type="dxa"/>
                  <w:vAlign w:val="center"/>
                </w:tcPr>
                <w:p>
                  <w:pPr>
                    <w:snapToGrid w:val="0"/>
                    <w:ind w:right="-122" w:hanging="108"/>
                    <w:jc w:val="center"/>
                    <w:rPr>
                      <w:rFonts w:eastAsia="宋体"/>
                      <w:sz w:val="21"/>
                      <w:szCs w:val="21"/>
                    </w:rPr>
                  </w:pPr>
                  <w:r>
                    <w:rPr>
                      <w:rFonts w:hint="eastAsia" w:eastAsia="宋体"/>
                      <w:sz w:val="21"/>
                      <w:szCs w:val="21"/>
                    </w:rPr>
                    <w:t>生活污水</w:t>
                  </w:r>
                </w:p>
              </w:tc>
              <w:tc>
                <w:tcPr>
                  <w:tcW w:w="3171" w:type="dxa"/>
                  <w:vMerge w:val="restart"/>
                  <w:vAlign w:val="center"/>
                </w:tcPr>
                <w:p>
                  <w:pPr>
                    <w:adjustRightInd w:val="0"/>
                    <w:snapToGrid w:val="0"/>
                    <w:jc w:val="center"/>
                    <w:rPr>
                      <w:rFonts w:ascii="宋体" w:hAnsi="宋体"/>
                      <w:sz w:val="21"/>
                      <w:szCs w:val="21"/>
                      <w:highlight w:val="yellow"/>
                    </w:rPr>
                  </w:pPr>
                  <w:r>
                    <w:rPr>
                      <w:rFonts w:hint="eastAsia" w:eastAsia="宋体"/>
                      <w:sz w:val="21"/>
                      <w:szCs w:val="21"/>
                    </w:rPr>
                    <w:t>全部排入旱厕，定期清掏综合利用</w:t>
                  </w:r>
                </w:p>
              </w:tc>
              <w:tc>
                <w:tcPr>
                  <w:tcW w:w="2038" w:type="dxa"/>
                  <w:vMerge w:val="restart"/>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合理处置</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76" w:hRule="atLeast"/>
                <w:jc w:val="center"/>
              </w:trPr>
              <w:tc>
                <w:tcPr>
                  <w:tcW w:w="548" w:type="dxa"/>
                  <w:vMerge w:val="continue"/>
                  <w:vAlign w:val="center"/>
                </w:tcPr>
                <w:p>
                  <w:pPr>
                    <w:autoSpaceDE w:val="0"/>
                    <w:autoSpaceDN w:val="0"/>
                    <w:adjustRightInd w:val="0"/>
                    <w:snapToGrid w:val="0"/>
                    <w:jc w:val="center"/>
                    <w:textAlignment w:val="baseline"/>
                    <w:rPr>
                      <w:color w:val="FF0000"/>
                      <w:kern w:val="0"/>
                      <w:sz w:val="21"/>
                    </w:rPr>
                  </w:pPr>
                </w:p>
              </w:tc>
              <w:tc>
                <w:tcPr>
                  <w:tcW w:w="1135" w:type="dxa"/>
                  <w:vAlign w:val="center"/>
                </w:tcPr>
                <w:p>
                  <w:pPr>
                    <w:autoSpaceDE w:val="0"/>
                    <w:autoSpaceDN w:val="0"/>
                    <w:adjustRightInd w:val="0"/>
                    <w:snapToGrid w:val="0"/>
                    <w:jc w:val="center"/>
                    <w:textAlignment w:val="baseline"/>
                    <w:rPr>
                      <w:color w:val="FF0000"/>
                      <w:kern w:val="0"/>
                      <w:sz w:val="21"/>
                    </w:rPr>
                  </w:pPr>
                </w:p>
              </w:tc>
              <w:tc>
                <w:tcPr>
                  <w:tcW w:w="1290" w:type="dxa"/>
                  <w:vAlign w:val="center"/>
                </w:tcPr>
                <w:p>
                  <w:pPr>
                    <w:snapToGrid w:val="0"/>
                    <w:ind w:right="-122" w:hanging="108"/>
                    <w:jc w:val="center"/>
                    <w:rPr>
                      <w:rFonts w:ascii="宋体" w:hAnsi="宋体" w:eastAsia="宋体"/>
                      <w:sz w:val="21"/>
                      <w:szCs w:val="21"/>
                    </w:rPr>
                  </w:pPr>
                </w:p>
              </w:tc>
              <w:tc>
                <w:tcPr>
                  <w:tcW w:w="3171" w:type="dxa"/>
                  <w:vMerge w:val="continue"/>
                  <w:vAlign w:val="center"/>
                </w:tcPr>
                <w:p>
                  <w:pPr>
                    <w:autoSpaceDE w:val="0"/>
                    <w:autoSpaceDN w:val="0"/>
                    <w:adjustRightInd w:val="0"/>
                    <w:snapToGrid w:val="0"/>
                    <w:jc w:val="center"/>
                    <w:textAlignment w:val="baseline"/>
                    <w:rPr>
                      <w:rFonts w:ascii="宋体" w:hAnsi="宋体" w:eastAsia="宋体"/>
                      <w:color w:val="FF0000"/>
                      <w:kern w:val="0"/>
                      <w:sz w:val="21"/>
                      <w:szCs w:val="21"/>
                    </w:rPr>
                  </w:pPr>
                </w:p>
              </w:tc>
              <w:tc>
                <w:tcPr>
                  <w:tcW w:w="2038" w:type="dxa"/>
                  <w:vMerge w:val="continue"/>
                  <w:vAlign w:val="center"/>
                </w:tcPr>
                <w:p>
                  <w:pPr>
                    <w:autoSpaceDE w:val="0"/>
                    <w:autoSpaceDN w:val="0"/>
                    <w:adjustRightInd w:val="0"/>
                    <w:snapToGrid w:val="0"/>
                    <w:jc w:val="center"/>
                    <w:textAlignment w:val="baseline"/>
                    <w:rPr>
                      <w:rFonts w:ascii="宋体" w:hAnsi="宋体" w:eastAsia="宋体"/>
                      <w:color w:val="FF0000"/>
                      <w:kern w:val="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60" w:hRule="atLeast"/>
                <w:jc w:val="center"/>
              </w:trPr>
              <w:tc>
                <w:tcPr>
                  <w:tcW w:w="548" w:type="dxa"/>
                  <w:vAlign w:val="center"/>
                </w:tcPr>
                <w:p>
                  <w:pPr>
                    <w:adjustRightInd w:val="0"/>
                    <w:snapToGrid w:val="0"/>
                    <w:jc w:val="center"/>
                    <w:rPr>
                      <w:rFonts w:ascii="宋体" w:hAnsi="宋体" w:eastAsia="宋体"/>
                      <w:sz w:val="21"/>
                      <w:szCs w:val="21"/>
                    </w:rPr>
                  </w:pPr>
                  <w:r>
                    <w:rPr>
                      <w:rFonts w:ascii="宋体" w:hAnsi="宋体" w:eastAsia="宋体"/>
                      <w:sz w:val="21"/>
                      <w:szCs w:val="21"/>
                    </w:rPr>
                    <w:t>噪声</w:t>
                  </w:r>
                </w:p>
              </w:tc>
              <w:tc>
                <w:tcPr>
                  <w:tcW w:w="1135" w:type="dxa"/>
                  <w:vAlign w:val="center"/>
                </w:tcPr>
                <w:p>
                  <w:pPr>
                    <w:adjustRightInd w:val="0"/>
                    <w:snapToGrid w:val="0"/>
                    <w:jc w:val="center"/>
                    <w:rPr>
                      <w:rFonts w:ascii="宋体" w:hAnsi="宋体" w:eastAsia="宋体"/>
                      <w:sz w:val="21"/>
                      <w:szCs w:val="21"/>
                    </w:rPr>
                  </w:pPr>
                  <w:r>
                    <w:rPr>
                      <w:rFonts w:ascii="宋体" w:hAnsi="宋体" w:eastAsia="宋体"/>
                      <w:sz w:val="21"/>
                      <w:szCs w:val="21"/>
                    </w:rPr>
                    <w:t>厂界</w:t>
                  </w:r>
                  <w:r>
                    <w:rPr>
                      <w:rFonts w:hint="eastAsia" w:ascii="宋体" w:hAnsi="宋体" w:eastAsia="宋体"/>
                      <w:sz w:val="21"/>
                      <w:szCs w:val="21"/>
                    </w:rPr>
                    <w:t>处</w:t>
                  </w:r>
                </w:p>
              </w:tc>
              <w:tc>
                <w:tcPr>
                  <w:tcW w:w="1290" w:type="dxa"/>
                  <w:vAlign w:val="center"/>
                </w:tcPr>
                <w:p>
                  <w:pPr>
                    <w:adjustRightInd w:val="0"/>
                    <w:snapToGrid w:val="0"/>
                    <w:jc w:val="center"/>
                    <w:rPr>
                      <w:rFonts w:ascii="宋体" w:hAnsi="宋体" w:eastAsia="宋体"/>
                      <w:sz w:val="21"/>
                      <w:szCs w:val="21"/>
                    </w:rPr>
                  </w:pPr>
                  <w:r>
                    <w:rPr>
                      <w:rFonts w:ascii="宋体" w:hAnsi="宋体" w:eastAsia="宋体"/>
                      <w:sz w:val="21"/>
                      <w:szCs w:val="21"/>
                    </w:rPr>
                    <w:t>噪声</w:t>
                  </w:r>
                </w:p>
              </w:tc>
              <w:tc>
                <w:tcPr>
                  <w:tcW w:w="3171" w:type="dxa"/>
                  <w:vAlign w:val="center"/>
                </w:tcPr>
                <w:p>
                  <w:pPr>
                    <w:adjustRightInd w:val="0"/>
                    <w:snapToGrid w:val="0"/>
                    <w:jc w:val="center"/>
                    <w:rPr>
                      <w:rFonts w:ascii="宋体" w:hAnsi="宋体" w:eastAsia="宋体"/>
                      <w:sz w:val="21"/>
                      <w:szCs w:val="21"/>
                    </w:rPr>
                  </w:pPr>
                  <w:r>
                    <w:rPr>
                      <w:rFonts w:ascii="宋体" w:hAnsi="宋体" w:eastAsia="宋体"/>
                      <w:sz w:val="21"/>
                      <w:szCs w:val="21"/>
                    </w:rPr>
                    <w:t>选用低噪声设备，做好</w:t>
                  </w:r>
                  <w:r>
                    <w:rPr>
                      <w:rFonts w:hint="eastAsia" w:ascii="宋体" w:hAnsi="宋体" w:eastAsia="宋体"/>
                      <w:sz w:val="21"/>
                      <w:szCs w:val="21"/>
                    </w:rPr>
                    <w:t>设备的基础减震及墙体隔音</w:t>
                  </w:r>
                </w:p>
              </w:tc>
              <w:tc>
                <w:tcPr>
                  <w:tcW w:w="2038" w:type="dxa"/>
                  <w:vAlign w:val="center"/>
                </w:tcPr>
                <w:p>
                  <w:pPr>
                    <w:adjustRightInd w:val="0"/>
                    <w:snapToGrid w:val="0"/>
                    <w:jc w:val="center"/>
                    <w:rPr>
                      <w:rFonts w:eastAsia="宋体"/>
                      <w:sz w:val="21"/>
                      <w:szCs w:val="21"/>
                    </w:rPr>
                  </w:pPr>
                  <w:r>
                    <w:rPr>
                      <w:rFonts w:eastAsia="宋体"/>
                      <w:sz w:val="21"/>
                      <w:szCs w:val="21"/>
                    </w:rPr>
                    <w:t>《工业企业厂界环境噪声排放标准》(GB12348-2008)中</w:t>
                  </w:r>
                  <w:r>
                    <w:rPr>
                      <w:rFonts w:hint="eastAsia" w:eastAsia="宋体"/>
                      <w:sz w:val="21"/>
                      <w:szCs w:val="21"/>
                    </w:rPr>
                    <w:t>1级标准</w:t>
                  </w:r>
                  <w:r>
                    <w:rPr>
                      <w:rFonts w:eastAsia="宋体"/>
                      <w:sz w:val="21"/>
                      <w:szCs w:val="21"/>
                    </w:rPr>
                    <w:t>相应限值</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48" w:type="dxa"/>
                  <w:vMerge w:val="restart"/>
                  <w:vAlign w:val="center"/>
                </w:tcPr>
                <w:p>
                  <w:pPr>
                    <w:adjustRightInd w:val="0"/>
                    <w:snapToGrid w:val="0"/>
                    <w:jc w:val="center"/>
                    <w:rPr>
                      <w:rFonts w:ascii="宋体" w:hAnsi="宋体" w:eastAsia="宋体"/>
                      <w:color w:val="FF0000"/>
                      <w:sz w:val="21"/>
                      <w:szCs w:val="21"/>
                    </w:rPr>
                  </w:pPr>
                  <w:r>
                    <w:rPr>
                      <w:rFonts w:hint="eastAsia" w:ascii="宋体" w:hAnsi="宋体" w:eastAsia="宋体"/>
                      <w:sz w:val="21"/>
                      <w:szCs w:val="21"/>
                    </w:rPr>
                    <w:t>固废</w:t>
                  </w:r>
                </w:p>
              </w:tc>
              <w:tc>
                <w:tcPr>
                  <w:tcW w:w="2425"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生活垃圾</w:t>
                  </w:r>
                </w:p>
              </w:tc>
              <w:tc>
                <w:tcPr>
                  <w:tcW w:w="3171"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垃圾箱收集，定期处置</w:t>
                  </w:r>
                </w:p>
              </w:tc>
              <w:tc>
                <w:tcPr>
                  <w:tcW w:w="2038" w:type="dxa"/>
                  <w:vMerge w:val="restart"/>
                  <w:vAlign w:val="center"/>
                </w:tcPr>
                <w:p>
                  <w:pPr>
                    <w:adjustRightInd w:val="0"/>
                    <w:snapToGrid w:val="0"/>
                    <w:jc w:val="center"/>
                    <w:rPr>
                      <w:rFonts w:eastAsia="宋体"/>
                      <w:color w:val="FF0000"/>
                      <w:sz w:val="21"/>
                      <w:szCs w:val="21"/>
                    </w:rPr>
                  </w:pPr>
                  <w:r>
                    <w:rPr>
                      <w:rFonts w:hint="eastAsia" w:eastAsia="宋体"/>
                      <w:sz w:val="21"/>
                      <w:szCs w:val="21"/>
                    </w:rPr>
                    <w:t>合理处置</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48" w:type="dxa"/>
                  <w:vMerge w:val="continue"/>
                  <w:vAlign w:val="center"/>
                </w:tcPr>
                <w:p>
                  <w:pPr>
                    <w:adjustRightInd w:val="0"/>
                    <w:snapToGrid w:val="0"/>
                    <w:jc w:val="center"/>
                    <w:rPr>
                      <w:rFonts w:ascii="宋体" w:hAnsi="宋体" w:eastAsia="宋体"/>
                      <w:color w:val="FF0000"/>
                      <w:sz w:val="21"/>
                      <w:szCs w:val="21"/>
                    </w:rPr>
                  </w:pPr>
                </w:p>
              </w:tc>
              <w:tc>
                <w:tcPr>
                  <w:tcW w:w="1135" w:type="dxa"/>
                  <w:vMerge w:val="restart"/>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一般固废</w:t>
                  </w:r>
                </w:p>
              </w:tc>
              <w:tc>
                <w:tcPr>
                  <w:tcW w:w="1290"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收集粉尘</w:t>
                  </w:r>
                </w:p>
              </w:tc>
              <w:tc>
                <w:tcPr>
                  <w:tcW w:w="3171"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回用</w:t>
                  </w:r>
                </w:p>
              </w:tc>
              <w:tc>
                <w:tcPr>
                  <w:tcW w:w="2038" w:type="dxa"/>
                  <w:vMerge w:val="continue"/>
                  <w:vAlign w:val="center"/>
                </w:tcPr>
                <w:p>
                  <w:pPr>
                    <w:adjustRightInd w:val="0"/>
                    <w:snapToGrid w:val="0"/>
                    <w:jc w:val="center"/>
                    <w:rPr>
                      <w:rFonts w:eastAsia="宋体"/>
                      <w:color w:val="FF000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48" w:type="dxa"/>
                  <w:vMerge w:val="continue"/>
                  <w:vAlign w:val="center"/>
                </w:tcPr>
                <w:p>
                  <w:pPr>
                    <w:adjustRightInd w:val="0"/>
                    <w:snapToGrid w:val="0"/>
                    <w:jc w:val="center"/>
                    <w:rPr>
                      <w:rFonts w:ascii="宋体" w:hAnsi="宋体" w:eastAsia="宋体"/>
                      <w:color w:val="FF0000"/>
                      <w:sz w:val="21"/>
                      <w:szCs w:val="21"/>
                    </w:rPr>
                  </w:pPr>
                </w:p>
              </w:tc>
              <w:tc>
                <w:tcPr>
                  <w:tcW w:w="1135" w:type="dxa"/>
                  <w:vMerge w:val="continue"/>
                  <w:vAlign w:val="center"/>
                </w:tcPr>
                <w:p>
                  <w:pPr>
                    <w:adjustRightInd w:val="0"/>
                    <w:snapToGrid w:val="0"/>
                    <w:jc w:val="center"/>
                    <w:rPr>
                      <w:rFonts w:ascii="宋体" w:hAnsi="宋体" w:eastAsia="宋体"/>
                      <w:sz w:val="21"/>
                      <w:szCs w:val="21"/>
                    </w:rPr>
                  </w:pPr>
                </w:p>
              </w:tc>
              <w:tc>
                <w:tcPr>
                  <w:tcW w:w="1290"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废包装袋</w:t>
                  </w:r>
                </w:p>
              </w:tc>
              <w:tc>
                <w:tcPr>
                  <w:tcW w:w="3171"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定期清理外售</w:t>
                  </w:r>
                </w:p>
              </w:tc>
              <w:tc>
                <w:tcPr>
                  <w:tcW w:w="2038" w:type="dxa"/>
                  <w:vMerge w:val="continue"/>
                  <w:vAlign w:val="center"/>
                </w:tcPr>
                <w:p>
                  <w:pPr>
                    <w:adjustRightInd w:val="0"/>
                    <w:snapToGrid w:val="0"/>
                    <w:jc w:val="center"/>
                    <w:rPr>
                      <w:rFonts w:eastAsia="宋体"/>
                      <w:color w:val="FF000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48" w:type="dxa"/>
                  <w:vMerge w:val="continue"/>
                  <w:vAlign w:val="center"/>
                </w:tcPr>
                <w:p>
                  <w:pPr>
                    <w:adjustRightInd w:val="0"/>
                    <w:snapToGrid w:val="0"/>
                    <w:jc w:val="center"/>
                    <w:rPr>
                      <w:rFonts w:ascii="宋体" w:hAnsi="宋体" w:eastAsia="宋体"/>
                      <w:color w:val="FF0000"/>
                      <w:sz w:val="21"/>
                      <w:szCs w:val="21"/>
                    </w:rPr>
                  </w:pPr>
                </w:p>
              </w:tc>
              <w:tc>
                <w:tcPr>
                  <w:tcW w:w="1135" w:type="dxa"/>
                  <w:vMerge w:val="restart"/>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锅炉</w:t>
                  </w:r>
                </w:p>
                <w:p>
                  <w:pPr>
                    <w:adjustRightInd w:val="0"/>
                    <w:snapToGrid w:val="0"/>
                    <w:jc w:val="center"/>
                    <w:rPr>
                      <w:rFonts w:ascii="宋体" w:hAnsi="宋体" w:eastAsia="宋体"/>
                      <w:sz w:val="21"/>
                      <w:szCs w:val="21"/>
                    </w:rPr>
                  </w:pPr>
                  <w:r>
                    <w:rPr>
                      <w:rFonts w:hint="eastAsia" w:ascii="宋体" w:hAnsi="宋体" w:eastAsia="宋体"/>
                      <w:sz w:val="21"/>
                      <w:szCs w:val="21"/>
                    </w:rPr>
                    <w:t>压合</w:t>
                  </w:r>
                </w:p>
              </w:tc>
              <w:tc>
                <w:tcPr>
                  <w:tcW w:w="1290"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废胶桶</w:t>
                  </w:r>
                </w:p>
              </w:tc>
              <w:tc>
                <w:tcPr>
                  <w:tcW w:w="3171" w:type="dxa"/>
                  <w:vMerge w:val="restart"/>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分类收集后暂存于危废间，定期交有资质单位处理</w:t>
                  </w:r>
                </w:p>
              </w:tc>
              <w:tc>
                <w:tcPr>
                  <w:tcW w:w="2038" w:type="dxa"/>
                  <w:vMerge w:val="continue"/>
                  <w:vAlign w:val="center"/>
                </w:tcPr>
                <w:p>
                  <w:pPr>
                    <w:adjustRightInd w:val="0"/>
                    <w:snapToGrid w:val="0"/>
                    <w:jc w:val="center"/>
                    <w:rPr>
                      <w:rFonts w:eastAsia="宋体"/>
                      <w:color w:val="FF000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48" w:type="dxa"/>
                  <w:vMerge w:val="continue"/>
                  <w:vAlign w:val="center"/>
                </w:tcPr>
                <w:p>
                  <w:pPr>
                    <w:adjustRightInd w:val="0"/>
                    <w:snapToGrid w:val="0"/>
                    <w:jc w:val="center"/>
                    <w:rPr>
                      <w:rFonts w:ascii="宋体" w:hAnsi="宋体" w:eastAsia="宋体"/>
                      <w:color w:val="FF0000"/>
                      <w:sz w:val="21"/>
                      <w:szCs w:val="21"/>
                    </w:rPr>
                  </w:pPr>
                </w:p>
              </w:tc>
              <w:tc>
                <w:tcPr>
                  <w:tcW w:w="1135" w:type="dxa"/>
                  <w:vMerge w:val="continue"/>
                  <w:vAlign w:val="center"/>
                </w:tcPr>
                <w:p>
                  <w:pPr>
                    <w:adjustRightInd w:val="0"/>
                    <w:snapToGrid w:val="0"/>
                    <w:jc w:val="center"/>
                    <w:rPr>
                      <w:rFonts w:ascii="宋体" w:hAnsi="宋体" w:eastAsia="宋体"/>
                      <w:sz w:val="21"/>
                      <w:szCs w:val="21"/>
                    </w:rPr>
                  </w:pPr>
                </w:p>
              </w:tc>
              <w:tc>
                <w:tcPr>
                  <w:tcW w:w="1290"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废液压油</w:t>
                  </w:r>
                </w:p>
              </w:tc>
              <w:tc>
                <w:tcPr>
                  <w:tcW w:w="3171" w:type="dxa"/>
                  <w:vMerge w:val="continue"/>
                  <w:vAlign w:val="center"/>
                </w:tcPr>
                <w:p>
                  <w:pPr>
                    <w:adjustRightInd w:val="0"/>
                    <w:snapToGrid w:val="0"/>
                    <w:jc w:val="center"/>
                    <w:rPr>
                      <w:rFonts w:ascii="宋体" w:hAnsi="宋体" w:eastAsia="宋体"/>
                      <w:sz w:val="21"/>
                      <w:szCs w:val="21"/>
                    </w:rPr>
                  </w:pPr>
                </w:p>
              </w:tc>
              <w:tc>
                <w:tcPr>
                  <w:tcW w:w="2038" w:type="dxa"/>
                  <w:vMerge w:val="continue"/>
                  <w:vAlign w:val="center"/>
                </w:tcPr>
                <w:p>
                  <w:pPr>
                    <w:adjustRightInd w:val="0"/>
                    <w:snapToGrid w:val="0"/>
                    <w:jc w:val="center"/>
                    <w:rPr>
                      <w:rFonts w:eastAsia="宋体"/>
                      <w:color w:val="FF0000"/>
                      <w:sz w:val="21"/>
                      <w:szCs w:val="21"/>
                    </w:rPr>
                  </w:pP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48" w:type="dxa"/>
                  <w:vMerge w:val="continue"/>
                  <w:vAlign w:val="center"/>
                </w:tcPr>
                <w:p>
                  <w:pPr>
                    <w:adjustRightInd w:val="0"/>
                    <w:snapToGrid w:val="0"/>
                    <w:jc w:val="center"/>
                    <w:rPr>
                      <w:rFonts w:ascii="宋体" w:hAnsi="宋体" w:eastAsia="宋体"/>
                      <w:color w:val="FF0000"/>
                      <w:sz w:val="21"/>
                      <w:szCs w:val="21"/>
                    </w:rPr>
                  </w:pPr>
                </w:p>
              </w:tc>
              <w:tc>
                <w:tcPr>
                  <w:tcW w:w="1135" w:type="dxa"/>
                  <w:vMerge w:val="continue"/>
                  <w:vAlign w:val="center"/>
                </w:tcPr>
                <w:p>
                  <w:pPr>
                    <w:adjustRightInd w:val="0"/>
                    <w:snapToGrid w:val="0"/>
                    <w:jc w:val="center"/>
                    <w:rPr>
                      <w:rFonts w:ascii="宋体" w:hAnsi="宋体" w:eastAsia="宋体"/>
                      <w:sz w:val="21"/>
                      <w:szCs w:val="21"/>
                    </w:rPr>
                  </w:pPr>
                </w:p>
              </w:tc>
              <w:tc>
                <w:tcPr>
                  <w:tcW w:w="1290" w:type="dxa"/>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废活性炭</w:t>
                  </w:r>
                </w:p>
              </w:tc>
              <w:tc>
                <w:tcPr>
                  <w:tcW w:w="3171" w:type="dxa"/>
                  <w:vMerge w:val="continue"/>
                  <w:vAlign w:val="center"/>
                </w:tcPr>
                <w:p>
                  <w:pPr>
                    <w:adjustRightInd w:val="0"/>
                    <w:snapToGrid w:val="0"/>
                    <w:jc w:val="center"/>
                    <w:rPr>
                      <w:rFonts w:ascii="宋体" w:hAnsi="宋体" w:eastAsia="宋体"/>
                      <w:sz w:val="21"/>
                      <w:szCs w:val="21"/>
                    </w:rPr>
                  </w:pPr>
                </w:p>
              </w:tc>
              <w:tc>
                <w:tcPr>
                  <w:tcW w:w="2038" w:type="dxa"/>
                  <w:vMerge w:val="continue"/>
                  <w:vAlign w:val="center"/>
                </w:tcPr>
                <w:p>
                  <w:pPr>
                    <w:adjustRightInd w:val="0"/>
                    <w:snapToGrid w:val="0"/>
                    <w:jc w:val="center"/>
                    <w:rPr>
                      <w:rFonts w:eastAsia="宋体"/>
                      <w:color w:val="FF0000"/>
                      <w:sz w:val="21"/>
                      <w:szCs w:val="21"/>
                    </w:rPr>
                  </w:pPr>
                </w:p>
              </w:tc>
            </w:tr>
          </w:tbl>
          <w:p>
            <w:pPr>
              <w:snapToGrid w:val="0"/>
              <w:spacing w:before="144" w:beforeLines="30" w:line="360" w:lineRule="auto"/>
              <w:ind w:firstLine="560" w:firstLineChars="200"/>
              <w:rPr>
                <w:bCs/>
                <w:color w:val="FF0000"/>
                <w:szCs w:val="24"/>
              </w:rPr>
            </w:pPr>
          </w:p>
        </w:tc>
      </w:tr>
    </w:tbl>
    <w:p>
      <w:pPr>
        <w:rPr>
          <w:rFonts w:eastAsia="宋体"/>
          <w:b/>
          <w:color w:val="FF0000"/>
          <w:sz w:val="24"/>
          <w:szCs w:val="24"/>
        </w:rPr>
        <w:sectPr>
          <w:pgSz w:w="11906" w:h="16838"/>
          <w:pgMar w:top="1701" w:right="1701" w:bottom="1843" w:left="1701" w:header="851" w:footer="992" w:gutter="0"/>
          <w:cols w:space="720" w:num="1"/>
          <w:docGrid w:type="lines" w:linePitch="480" w:charSpace="0"/>
        </w:sectPr>
      </w:pPr>
    </w:p>
    <w:p>
      <w:pPr>
        <w:rPr>
          <w:rFonts w:eastAsia="宋体"/>
          <w:b/>
          <w:sz w:val="24"/>
          <w:szCs w:val="24"/>
        </w:rPr>
      </w:pPr>
      <w:r>
        <w:rPr>
          <w:rFonts w:eastAsia="宋体"/>
          <w:b/>
          <w:sz w:val="24"/>
          <w:szCs w:val="24"/>
        </w:rPr>
        <w:t>建设项目拟采用的防治措施及预期治理效果</w:t>
      </w:r>
    </w:p>
    <w:tbl>
      <w:tblPr>
        <w:tblStyle w:val="25"/>
        <w:tblW w:w="88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558"/>
        <w:gridCol w:w="1253"/>
        <w:gridCol w:w="7"/>
        <w:gridCol w:w="1437"/>
        <w:gridCol w:w="2924"/>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116" w:type="dxa"/>
            <w:gridSpan w:val="2"/>
            <w:tcBorders>
              <w:tl2br w:val="single" w:color="auto" w:sz="4" w:space="0"/>
            </w:tcBorders>
          </w:tcPr>
          <w:p>
            <w:pPr>
              <w:ind w:firstLine="240" w:firstLineChars="100"/>
              <w:rPr>
                <w:rFonts w:eastAsia="宋体"/>
                <w:sz w:val="10"/>
                <w:szCs w:val="10"/>
              </w:rPr>
            </w:pPr>
            <w:r>
              <w:rPr>
                <w:rFonts w:eastAsia="宋体"/>
                <w:sz w:val="24"/>
                <w:szCs w:val="24"/>
              </w:rPr>
              <w:t xml:space="preserve"> 内容</w:t>
            </w:r>
          </w:p>
          <w:p>
            <w:pPr>
              <w:rPr>
                <w:rFonts w:eastAsia="宋体"/>
                <w:sz w:val="24"/>
                <w:szCs w:val="24"/>
              </w:rPr>
            </w:pPr>
            <w:r>
              <w:rPr>
                <w:rFonts w:eastAsia="宋体"/>
                <w:sz w:val="24"/>
                <w:szCs w:val="24"/>
              </w:rPr>
              <w:t>类型</w:t>
            </w:r>
          </w:p>
        </w:tc>
        <w:tc>
          <w:tcPr>
            <w:tcW w:w="1253" w:type="dxa"/>
            <w:vAlign w:val="center"/>
          </w:tcPr>
          <w:p>
            <w:pPr>
              <w:jc w:val="center"/>
              <w:rPr>
                <w:rFonts w:eastAsia="宋体"/>
                <w:sz w:val="24"/>
                <w:szCs w:val="24"/>
              </w:rPr>
            </w:pPr>
            <w:r>
              <w:rPr>
                <w:rFonts w:eastAsia="宋体"/>
                <w:sz w:val="24"/>
                <w:szCs w:val="24"/>
              </w:rPr>
              <w:t>排放源</w:t>
            </w:r>
          </w:p>
          <w:p>
            <w:pPr>
              <w:jc w:val="center"/>
              <w:rPr>
                <w:rFonts w:eastAsia="宋体"/>
                <w:sz w:val="24"/>
                <w:szCs w:val="24"/>
              </w:rPr>
            </w:pPr>
            <w:r>
              <w:rPr>
                <w:rFonts w:eastAsia="宋体"/>
                <w:sz w:val="24"/>
                <w:szCs w:val="24"/>
              </w:rPr>
              <w:t>（编号）</w:t>
            </w:r>
          </w:p>
        </w:tc>
        <w:tc>
          <w:tcPr>
            <w:tcW w:w="1444" w:type="dxa"/>
            <w:gridSpan w:val="2"/>
            <w:vAlign w:val="center"/>
          </w:tcPr>
          <w:p>
            <w:pPr>
              <w:jc w:val="center"/>
              <w:rPr>
                <w:rFonts w:eastAsia="宋体"/>
                <w:sz w:val="24"/>
                <w:szCs w:val="24"/>
              </w:rPr>
            </w:pPr>
            <w:r>
              <w:rPr>
                <w:rFonts w:eastAsia="宋体"/>
                <w:sz w:val="24"/>
                <w:szCs w:val="24"/>
              </w:rPr>
              <w:t>污染物</w:t>
            </w:r>
          </w:p>
          <w:p>
            <w:pPr>
              <w:jc w:val="center"/>
              <w:rPr>
                <w:rFonts w:eastAsia="宋体"/>
                <w:sz w:val="24"/>
                <w:szCs w:val="24"/>
              </w:rPr>
            </w:pPr>
            <w:r>
              <w:rPr>
                <w:rFonts w:eastAsia="宋体"/>
                <w:sz w:val="24"/>
                <w:szCs w:val="24"/>
              </w:rPr>
              <w:t>名称</w:t>
            </w:r>
          </w:p>
        </w:tc>
        <w:tc>
          <w:tcPr>
            <w:tcW w:w="2924" w:type="dxa"/>
            <w:vAlign w:val="center"/>
          </w:tcPr>
          <w:p>
            <w:pPr>
              <w:spacing w:line="360" w:lineRule="auto"/>
              <w:jc w:val="center"/>
              <w:rPr>
                <w:rFonts w:eastAsia="宋体"/>
                <w:sz w:val="24"/>
                <w:szCs w:val="24"/>
              </w:rPr>
            </w:pPr>
            <w:r>
              <w:rPr>
                <w:rFonts w:eastAsia="宋体"/>
                <w:sz w:val="24"/>
                <w:szCs w:val="24"/>
              </w:rPr>
              <w:t>防治措施</w:t>
            </w:r>
          </w:p>
        </w:tc>
        <w:tc>
          <w:tcPr>
            <w:tcW w:w="2145" w:type="dxa"/>
            <w:vAlign w:val="center"/>
          </w:tcPr>
          <w:p>
            <w:pPr>
              <w:spacing w:line="360" w:lineRule="auto"/>
              <w:jc w:val="center"/>
              <w:rPr>
                <w:rFonts w:eastAsia="宋体"/>
                <w:sz w:val="24"/>
                <w:szCs w:val="24"/>
              </w:rPr>
            </w:pPr>
            <w:r>
              <w:rPr>
                <w:rFonts w:eastAsia="宋体"/>
                <w:sz w:val="24"/>
                <w:szCs w:val="24"/>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1116" w:type="dxa"/>
            <w:gridSpan w:val="2"/>
            <w:vMerge w:val="restart"/>
            <w:vAlign w:val="center"/>
          </w:tcPr>
          <w:p>
            <w:pPr>
              <w:pStyle w:val="36"/>
              <w:spacing w:line="240" w:lineRule="auto"/>
              <w:ind w:firstLine="0" w:firstLineChars="0"/>
              <w:jc w:val="center"/>
            </w:pPr>
            <w:r>
              <w:t>大气</w:t>
            </w:r>
          </w:p>
          <w:p>
            <w:pPr>
              <w:pStyle w:val="36"/>
              <w:spacing w:line="240" w:lineRule="auto"/>
              <w:ind w:firstLine="0" w:firstLineChars="0"/>
              <w:jc w:val="center"/>
            </w:pPr>
            <w:r>
              <w:t>污染</w:t>
            </w:r>
          </w:p>
          <w:p>
            <w:pPr>
              <w:pStyle w:val="36"/>
              <w:spacing w:line="240" w:lineRule="auto"/>
              <w:ind w:firstLine="0" w:firstLineChars="0"/>
              <w:jc w:val="center"/>
            </w:pPr>
            <w:r>
              <w:t>物</w:t>
            </w:r>
          </w:p>
        </w:tc>
        <w:tc>
          <w:tcPr>
            <w:tcW w:w="1253" w:type="dxa"/>
            <w:vMerge w:val="restart"/>
            <w:vAlign w:val="center"/>
          </w:tcPr>
          <w:p>
            <w:pPr>
              <w:pStyle w:val="36"/>
              <w:spacing w:line="240" w:lineRule="auto"/>
              <w:ind w:firstLine="0" w:firstLineChars="0"/>
              <w:jc w:val="center"/>
            </w:pPr>
            <w:r>
              <w:rPr>
                <w:rFonts w:hint="eastAsia"/>
              </w:rPr>
              <w:t>P</w:t>
            </w:r>
            <w:r>
              <w:t>1</w:t>
            </w:r>
            <w:r>
              <w:rPr>
                <w:rFonts w:hint="eastAsia"/>
              </w:rPr>
              <w:t>排气筒</w:t>
            </w:r>
          </w:p>
        </w:tc>
        <w:tc>
          <w:tcPr>
            <w:tcW w:w="1444" w:type="dxa"/>
            <w:gridSpan w:val="2"/>
            <w:vAlign w:val="center"/>
          </w:tcPr>
          <w:p>
            <w:pPr>
              <w:snapToGrid w:val="0"/>
              <w:ind w:hanging="108"/>
              <w:jc w:val="center"/>
              <w:rPr>
                <w:rFonts w:eastAsia="宋体"/>
                <w:sz w:val="24"/>
                <w:szCs w:val="24"/>
              </w:rPr>
            </w:pPr>
            <w:r>
              <w:rPr>
                <w:rFonts w:hint="eastAsia" w:eastAsia="宋体"/>
                <w:sz w:val="24"/>
                <w:szCs w:val="24"/>
              </w:rPr>
              <w:t>颗粒物</w:t>
            </w:r>
          </w:p>
        </w:tc>
        <w:tc>
          <w:tcPr>
            <w:tcW w:w="2924" w:type="dxa"/>
            <w:vMerge w:val="restart"/>
            <w:vAlign w:val="center"/>
          </w:tcPr>
          <w:p>
            <w:pPr>
              <w:pStyle w:val="36"/>
              <w:spacing w:line="240" w:lineRule="auto"/>
              <w:ind w:firstLine="0" w:firstLineChars="0"/>
              <w:jc w:val="center"/>
            </w:pPr>
            <w:r>
              <w:rPr>
                <w:rFonts w:hint="eastAsia"/>
              </w:rPr>
              <w:t>厂房全封闭，经收集（收集效率90%）后通过中央除尘系统处理（处理效率99%，）经活性炭吸附后，由15m排气筒P1排放</w:t>
            </w:r>
          </w:p>
        </w:tc>
        <w:tc>
          <w:tcPr>
            <w:tcW w:w="2145" w:type="dxa"/>
            <w:vMerge w:val="restart"/>
            <w:vAlign w:val="center"/>
          </w:tcPr>
          <w:p>
            <w:pPr>
              <w:pStyle w:val="36"/>
              <w:spacing w:line="240" w:lineRule="auto"/>
              <w:ind w:firstLine="0" w:firstLineChars="0"/>
              <w:jc w:val="center"/>
              <w:rPr>
                <w:szCs w:val="24"/>
              </w:rPr>
            </w:pPr>
            <w:r>
              <w:rPr>
                <w:szCs w:val="24"/>
              </w:rPr>
              <w:t>《大气污染物综合排放标准》（GB16297-1996）</w:t>
            </w:r>
            <w:r>
              <w:rPr>
                <w:rFonts w:hint="eastAsia"/>
                <w:szCs w:val="24"/>
              </w:rPr>
              <w:t>新污染源污染物</w:t>
            </w:r>
            <w:r>
              <w:rPr>
                <w:szCs w:val="24"/>
              </w:rPr>
              <w:t>二级标准限值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 w:hRule="atLeast"/>
        </w:trPr>
        <w:tc>
          <w:tcPr>
            <w:tcW w:w="1116" w:type="dxa"/>
            <w:gridSpan w:val="2"/>
            <w:vMerge w:val="continue"/>
            <w:vAlign w:val="center"/>
          </w:tcPr>
          <w:p>
            <w:pPr>
              <w:pStyle w:val="36"/>
              <w:spacing w:line="240" w:lineRule="auto"/>
              <w:ind w:firstLine="0" w:firstLineChars="0"/>
              <w:jc w:val="center"/>
            </w:pPr>
          </w:p>
        </w:tc>
        <w:tc>
          <w:tcPr>
            <w:tcW w:w="1253" w:type="dxa"/>
            <w:vMerge w:val="continue"/>
            <w:vAlign w:val="center"/>
          </w:tcPr>
          <w:p>
            <w:pPr>
              <w:pStyle w:val="36"/>
              <w:spacing w:line="240" w:lineRule="auto"/>
              <w:ind w:firstLine="0" w:firstLineChars="0"/>
              <w:jc w:val="center"/>
            </w:pPr>
          </w:p>
        </w:tc>
        <w:tc>
          <w:tcPr>
            <w:tcW w:w="1444" w:type="dxa"/>
            <w:gridSpan w:val="2"/>
            <w:vAlign w:val="center"/>
          </w:tcPr>
          <w:p>
            <w:pPr>
              <w:pStyle w:val="36"/>
              <w:spacing w:line="240" w:lineRule="auto"/>
              <w:ind w:firstLine="0" w:firstLineChars="0"/>
              <w:jc w:val="center"/>
              <w:rPr>
                <w:szCs w:val="24"/>
              </w:rPr>
            </w:pPr>
            <w:r>
              <w:rPr>
                <w:rFonts w:hint="eastAsia"/>
              </w:rPr>
              <w:t>非甲烷总烃</w:t>
            </w:r>
          </w:p>
        </w:tc>
        <w:tc>
          <w:tcPr>
            <w:tcW w:w="2924" w:type="dxa"/>
            <w:vMerge w:val="continue"/>
            <w:vAlign w:val="center"/>
          </w:tcPr>
          <w:p>
            <w:pPr>
              <w:pStyle w:val="36"/>
              <w:spacing w:line="240" w:lineRule="auto"/>
              <w:ind w:firstLine="0" w:firstLineChars="0"/>
              <w:jc w:val="center"/>
            </w:pPr>
          </w:p>
        </w:tc>
        <w:tc>
          <w:tcPr>
            <w:tcW w:w="2145" w:type="dxa"/>
            <w:vMerge w:val="continue"/>
            <w:vAlign w:val="center"/>
          </w:tcPr>
          <w:p>
            <w:pPr>
              <w:pStyle w:val="36"/>
              <w:spacing w:line="240" w:lineRule="auto"/>
              <w:ind w:firstLine="0" w:firstLineChars="0"/>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 w:hRule="atLeast"/>
        </w:trPr>
        <w:tc>
          <w:tcPr>
            <w:tcW w:w="1116" w:type="dxa"/>
            <w:gridSpan w:val="2"/>
            <w:vMerge w:val="restart"/>
            <w:vAlign w:val="center"/>
          </w:tcPr>
          <w:p>
            <w:pPr>
              <w:pStyle w:val="36"/>
              <w:spacing w:line="240" w:lineRule="auto"/>
              <w:ind w:firstLine="0" w:firstLineChars="0"/>
              <w:jc w:val="center"/>
            </w:pPr>
            <w:r>
              <w:rPr>
                <w:rFonts w:hint="eastAsia"/>
              </w:rPr>
              <w:t>水污</w:t>
            </w:r>
          </w:p>
          <w:p>
            <w:pPr>
              <w:pStyle w:val="36"/>
              <w:spacing w:line="240" w:lineRule="auto"/>
              <w:ind w:firstLine="0" w:firstLineChars="0"/>
              <w:jc w:val="center"/>
            </w:pPr>
            <w:r>
              <w:rPr>
                <w:rFonts w:hint="eastAsia"/>
              </w:rPr>
              <w:t>染物</w:t>
            </w:r>
          </w:p>
        </w:tc>
        <w:tc>
          <w:tcPr>
            <w:tcW w:w="1253" w:type="dxa"/>
            <w:vMerge w:val="restart"/>
            <w:vAlign w:val="center"/>
          </w:tcPr>
          <w:p>
            <w:pPr>
              <w:pStyle w:val="36"/>
              <w:spacing w:line="240" w:lineRule="auto"/>
              <w:ind w:firstLine="0" w:firstLineChars="0"/>
              <w:jc w:val="center"/>
            </w:pPr>
            <w:r>
              <w:rPr>
                <w:rFonts w:hint="eastAsia"/>
              </w:rPr>
              <w:t>生活污水</w:t>
            </w:r>
          </w:p>
        </w:tc>
        <w:tc>
          <w:tcPr>
            <w:tcW w:w="1444" w:type="dxa"/>
            <w:gridSpan w:val="2"/>
            <w:vAlign w:val="center"/>
          </w:tcPr>
          <w:p>
            <w:pPr>
              <w:snapToGrid w:val="0"/>
              <w:ind w:right="-122" w:hanging="108"/>
              <w:jc w:val="center"/>
            </w:pPr>
            <w:r>
              <w:rPr>
                <w:rFonts w:hint="eastAsia" w:eastAsia="宋体"/>
                <w:sz w:val="24"/>
                <w:szCs w:val="24"/>
              </w:rPr>
              <w:t>C</w:t>
            </w:r>
            <w:r>
              <w:rPr>
                <w:rFonts w:eastAsia="宋体"/>
                <w:sz w:val="24"/>
                <w:szCs w:val="24"/>
              </w:rPr>
              <w:t>OD</w:t>
            </w:r>
          </w:p>
        </w:tc>
        <w:tc>
          <w:tcPr>
            <w:tcW w:w="2924" w:type="dxa"/>
            <w:vMerge w:val="restart"/>
            <w:vAlign w:val="center"/>
          </w:tcPr>
          <w:p>
            <w:pPr>
              <w:pStyle w:val="36"/>
              <w:spacing w:line="240" w:lineRule="auto"/>
              <w:ind w:firstLine="0" w:firstLineChars="0"/>
              <w:jc w:val="center"/>
            </w:pPr>
            <w:r>
              <w:rPr>
                <w:rFonts w:hint="eastAsia"/>
              </w:rPr>
              <w:t>产生的废水全部排入旱厕，定期清掏处理</w:t>
            </w:r>
          </w:p>
        </w:tc>
        <w:tc>
          <w:tcPr>
            <w:tcW w:w="2145" w:type="dxa"/>
            <w:vMerge w:val="restart"/>
            <w:vAlign w:val="center"/>
          </w:tcPr>
          <w:p>
            <w:pPr>
              <w:pStyle w:val="36"/>
              <w:wordWrap w:val="0"/>
              <w:spacing w:line="240" w:lineRule="auto"/>
              <w:ind w:firstLine="0" w:firstLineChars="0"/>
              <w:jc w:val="center"/>
            </w:pPr>
            <w:r>
              <w:rPr>
                <w:rFonts w:hint="eastAsia"/>
              </w:rPr>
              <w:t>合理处置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 w:hRule="atLeast"/>
        </w:trPr>
        <w:tc>
          <w:tcPr>
            <w:tcW w:w="1116" w:type="dxa"/>
            <w:gridSpan w:val="2"/>
            <w:vMerge w:val="continue"/>
            <w:vAlign w:val="center"/>
          </w:tcPr>
          <w:p>
            <w:pPr>
              <w:pStyle w:val="19"/>
              <w:snapToGrid w:val="0"/>
              <w:rPr>
                <w:color w:val="FF0000"/>
              </w:rPr>
            </w:pPr>
          </w:p>
        </w:tc>
        <w:tc>
          <w:tcPr>
            <w:tcW w:w="1253" w:type="dxa"/>
            <w:vMerge w:val="continue"/>
            <w:vAlign w:val="center"/>
          </w:tcPr>
          <w:p>
            <w:pPr>
              <w:pStyle w:val="19"/>
              <w:snapToGrid w:val="0"/>
              <w:rPr>
                <w:color w:val="FF0000"/>
              </w:rPr>
            </w:pPr>
          </w:p>
        </w:tc>
        <w:tc>
          <w:tcPr>
            <w:tcW w:w="1444" w:type="dxa"/>
            <w:gridSpan w:val="2"/>
            <w:vAlign w:val="center"/>
          </w:tcPr>
          <w:p>
            <w:pPr>
              <w:snapToGrid w:val="0"/>
              <w:ind w:right="-122" w:hanging="108"/>
              <w:jc w:val="center"/>
            </w:pPr>
            <w:r>
              <w:rPr>
                <w:rFonts w:hint="eastAsia" w:eastAsia="宋体"/>
                <w:sz w:val="24"/>
                <w:szCs w:val="24"/>
              </w:rPr>
              <w:t>B</w:t>
            </w:r>
            <w:r>
              <w:rPr>
                <w:rFonts w:eastAsia="宋体"/>
                <w:sz w:val="24"/>
                <w:szCs w:val="24"/>
              </w:rPr>
              <w:t>OD</w:t>
            </w:r>
            <w:r>
              <w:rPr>
                <w:rFonts w:hint="eastAsia" w:eastAsia="宋体"/>
                <w:sz w:val="24"/>
                <w:szCs w:val="24"/>
                <w:vertAlign w:val="subscript"/>
              </w:rPr>
              <w:t>5</w:t>
            </w:r>
          </w:p>
        </w:tc>
        <w:tc>
          <w:tcPr>
            <w:tcW w:w="2924" w:type="dxa"/>
            <w:vMerge w:val="continue"/>
            <w:vAlign w:val="center"/>
          </w:tcPr>
          <w:p>
            <w:pPr>
              <w:pStyle w:val="19"/>
              <w:snapToGrid w:val="0"/>
              <w:rPr>
                <w:color w:val="FF0000"/>
              </w:rPr>
            </w:pPr>
          </w:p>
        </w:tc>
        <w:tc>
          <w:tcPr>
            <w:tcW w:w="2145" w:type="dxa"/>
            <w:vMerge w:val="continue"/>
            <w:vAlign w:val="center"/>
          </w:tcPr>
          <w:p>
            <w:pPr>
              <w:pStyle w:val="19"/>
              <w:snapToGrid w:val="0"/>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 w:hRule="atLeast"/>
        </w:trPr>
        <w:tc>
          <w:tcPr>
            <w:tcW w:w="1116" w:type="dxa"/>
            <w:gridSpan w:val="2"/>
            <w:vMerge w:val="continue"/>
            <w:vAlign w:val="center"/>
          </w:tcPr>
          <w:p>
            <w:pPr>
              <w:pStyle w:val="19"/>
              <w:snapToGrid w:val="0"/>
              <w:rPr>
                <w:color w:val="FF0000"/>
              </w:rPr>
            </w:pPr>
          </w:p>
        </w:tc>
        <w:tc>
          <w:tcPr>
            <w:tcW w:w="1253" w:type="dxa"/>
            <w:vMerge w:val="continue"/>
            <w:vAlign w:val="center"/>
          </w:tcPr>
          <w:p>
            <w:pPr>
              <w:pStyle w:val="19"/>
              <w:snapToGrid w:val="0"/>
              <w:rPr>
                <w:color w:val="FF0000"/>
              </w:rPr>
            </w:pPr>
          </w:p>
        </w:tc>
        <w:tc>
          <w:tcPr>
            <w:tcW w:w="1444" w:type="dxa"/>
            <w:gridSpan w:val="2"/>
            <w:vAlign w:val="center"/>
          </w:tcPr>
          <w:p>
            <w:pPr>
              <w:snapToGrid w:val="0"/>
              <w:ind w:right="-122" w:hanging="108"/>
              <w:jc w:val="center"/>
              <w:rPr>
                <w:rFonts w:eastAsia="宋体"/>
                <w:sz w:val="24"/>
                <w:szCs w:val="24"/>
              </w:rPr>
            </w:pPr>
            <w:r>
              <w:rPr>
                <w:rFonts w:hint="eastAsia" w:eastAsia="宋体"/>
                <w:sz w:val="24"/>
                <w:szCs w:val="24"/>
              </w:rPr>
              <w:t>S</w:t>
            </w:r>
            <w:r>
              <w:rPr>
                <w:rFonts w:eastAsia="宋体"/>
                <w:sz w:val="24"/>
                <w:szCs w:val="24"/>
              </w:rPr>
              <w:t>S</w:t>
            </w:r>
          </w:p>
        </w:tc>
        <w:tc>
          <w:tcPr>
            <w:tcW w:w="2924" w:type="dxa"/>
            <w:vMerge w:val="continue"/>
            <w:vAlign w:val="center"/>
          </w:tcPr>
          <w:p>
            <w:pPr>
              <w:pStyle w:val="19"/>
              <w:snapToGrid w:val="0"/>
              <w:rPr>
                <w:color w:val="FF0000"/>
              </w:rPr>
            </w:pPr>
          </w:p>
        </w:tc>
        <w:tc>
          <w:tcPr>
            <w:tcW w:w="2145" w:type="dxa"/>
            <w:vMerge w:val="continue"/>
            <w:vAlign w:val="center"/>
          </w:tcPr>
          <w:p>
            <w:pPr>
              <w:pStyle w:val="19"/>
              <w:snapToGrid w:val="0"/>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 w:hRule="atLeast"/>
        </w:trPr>
        <w:tc>
          <w:tcPr>
            <w:tcW w:w="1116" w:type="dxa"/>
            <w:gridSpan w:val="2"/>
            <w:vMerge w:val="continue"/>
            <w:vAlign w:val="center"/>
          </w:tcPr>
          <w:p>
            <w:pPr>
              <w:pStyle w:val="19"/>
              <w:snapToGrid w:val="0"/>
              <w:rPr>
                <w:color w:val="FF0000"/>
              </w:rPr>
            </w:pPr>
          </w:p>
        </w:tc>
        <w:tc>
          <w:tcPr>
            <w:tcW w:w="1253" w:type="dxa"/>
            <w:vMerge w:val="continue"/>
            <w:vAlign w:val="center"/>
          </w:tcPr>
          <w:p>
            <w:pPr>
              <w:pStyle w:val="19"/>
              <w:snapToGrid w:val="0"/>
              <w:rPr>
                <w:color w:val="FF0000"/>
              </w:rPr>
            </w:pPr>
          </w:p>
        </w:tc>
        <w:tc>
          <w:tcPr>
            <w:tcW w:w="1444" w:type="dxa"/>
            <w:gridSpan w:val="2"/>
            <w:vAlign w:val="center"/>
          </w:tcPr>
          <w:p>
            <w:pPr>
              <w:snapToGrid w:val="0"/>
              <w:ind w:right="-122" w:hanging="108"/>
              <w:jc w:val="center"/>
              <w:rPr>
                <w:rFonts w:eastAsia="宋体"/>
                <w:sz w:val="24"/>
                <w:szCs w:val="24"/>
              </w:rPr>
            </w:pPr>
            <w:r>
              <w:rPr>
                <w:rFonts w:hint="eastAsia" w:eastAsia="宋体"/>
                <w:sz w:val="24"/>
                <w:szCs w:val="24"/>
              </w:rPr>
              <w:t>N</w:t>
            </w:r>
            <w:r>
              <w:rPr>
                <w:rFonts w:eastAsia="宋体"/>
                <w:sz w:val="24"/>
                <w:szCs w:val="24"/>
              </w:rPr>
              <w:t>H</w:t>
            </w:r>
            <w:r>
              <w:rPr>
                <w:rFonts w:eastAsia="宋体"/>
                <w:sz w:val="24"/>
                <w:szCs w:val="24"/>
                <w:vertAlign w:val="subscript"/>
              </w:rPr>
              <w:t>3</w:t>
            </w:r>
            <w:r>
              <w:rPr>
                <w:rFonts w:eastAsia="宋体"/>
                <w:sz w:val="24"/>
                <w:szCs w:val="24"/>
              </w:rPr>
              <w:t>-N</w:t>
            </w:r>
          </w:p>
        </w:tc>
        <w:tc>
          <w:tcPr>
            <w:tcW w:w="2924" w:type="dxa"/>
            <w:vMerge w:val="continue"/>
            <w:vAlign w:val="center"/>
          </w:tcPr>
          <w:p>
            <w:pPr>
              <w:pStyle w:val="19"/>
              <w:snapToGrid w:val="0"/>
              <w:rPr>
                <w:color w:val="FF0000"/>
              </w:rPr>
            </w:pPr>
          </w:p>
        </w:tc>
        <w:tc>
          <w:tcPr>
            <w:tcW w:w="2145" w:type="dxa"/>
            <w:vMerge w:val="continue"/>
            <w:vAlign w:val="center"/>
          </w:tcPr>
          <w:p>
            <w:pPr>
              <w:pStyle w:val="19"/>
              <w:snapToGrid w:val="0"/>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trPr>
        <w:tc>
          <w:tcPr>
            <w:tcW w:w="558" w:type="dxa"/>
            <w:vMerge w:val="restart"/>
            <w:vAlign w:val="center"/>
          </w:tcPr>
          <w:p>
            <w:pPr>
              <w:snapToGrid w:val="0"/>
              <w:jc w:val="center"/>
              <w:rPr>
                <w:rFonts w:eastAsia="宋体"/>
                <w:sz w:val="24"/>
                <w:szCs w:val="24"/>
              </w:rPr>
            </w:pPr>
            <w:r>
              <w:rPr>
                <w:rFonts w:eastAsia="宋体"/>
                <w:sz w:val="24"/>
                <w:szCs w:val="24"/>
              </w:rPr>
              <w:t>固</w:t>
            </w:r>
          </w:p>
          <w:p>
            <w:pPr>
              <w:snapToGrid w:val="0"/>
              <w:jc w:val="center"/>
              <w:rPr>
                <w:rFonts w:eastAsia="宋体"/>
                <w:sz w:val="24"/>
                <w:szCs w:val="24"/>
              </w:rPr>
            </w:pPr>
            <w:r>
              <w:rPr>
                <w:rFonts w:eastAsia="宋体"/>
                <w:sz w:val="24"/>
                <w:szCs w:val="24"/>
              </w:rPr>
              <w:t>体</w:t>
            </w:r>
          </w:p>
          <w:p>
            <w:pPr>
              <w:snapToGrid w:val="0"/>
              <w:jc w:val="center"/>
              <w:rPr>
                <w:rFonts w:eastAsia="宋体"/>
                <w:sz w:val="24"/>
                <w:szCs w:val="24"/>
              </w:rPr>
            </w:pPr>
            <w:r>
              <w:rPr>
                <w:rFonts w:eastAsia="宋体"/>
                <w:sz w:val="24"/>
                <w:szCs w:val="24"/>
              </w:rPr>
              <w:t>废</w:t>
            </w:r>
          </w:p>
          <w:p>
            <w:pPr>
              <w:snapToGrid w:val="0"/>
              <w:jc w:val="center"/>
              <w:rPr>
                <w:rFonts w:eastAsia="宋体"/>
                <w:sz w:val="24"/>
                <w:szCs w:val="24"/>
              </w:rPr>
            </w:pPr>
            <w:r>
              <w:rPr>
                <w:rFonts w:eastAsia="宋体"/>
                <w:sz w:val="24"/>
                <w:szCs w:val="24"/>
              </w:rPr>
              <w:t>弃</w:t>
            </w:r>
          </w:p>
          <w:p>
            <w:pPr>
              <w:adjustRightInd w:val="0"/>
              <w:snapToGrid w:val="0"/>
              <w:jc w:val="center"/>
              <w:rPr>
                <w:rFonts w:eastAsia="宋体"/>
                <w:sz w:val="24"/>
                <w:szCs w:val="24"/>
              </w:rPr>
            </w:pPr>
            <w:r>
              <w:rPr>
                <w:rFonts w:eastAsia="宋体"/>
                <w:sz w:val="24"/>
                <w:szCs w:val="24"/>
              </w:rPr>
              <w:t>物</w:t>
            </w:r>
          </w:p>
        </w:tc>
        <w:tc>
          <w:tcPr>
            <w:tcW w:w="558" w:type="dxa"/>
            <w:vMerge w:val="restart"/>
            <w:vAlign w:val="center"/>
          </w:tcPr>
          <w:p>
            <w:pPr>
              <w:adjustRightInd w:val="0"/>
              <w:snapToGrid w:val="0"/>
              <w:jc w:val="center"/>
              <w:rPr>
                <w:rFonts w:eastAsia="宋体"/>
                <w:sz w:val="24"/>
                <w:szCs w:val="24"/>
              </w:rPr>
            </w:pPr>
            <w:r>
              <w:rPr>
                <w:rFonts w:hint="eastAsia" w:eastAsia="宋体"/>
                <w:sz w:val="24"/>
                <w:szCs w:val="24"/>
              </w:rPr>
              <w:t>一般废物</w:t>
            </w:r>
          </w:p>
        </w:tc>
        <w:tc>
          <w:tcPr>
            <w:tcW w:w="2697" w:type="dxa"/>
            <w:gridSpan w:val="3"/>
            <w:vAlign w:val="center"/>
          </w:tcPr>
          <w:p>
            <w:pPr>
              <w:pStyle w:val="36"/>
              <w:spacing w:line="240" w:lineRule="auto"/>
              <w:ind w:firstLine="0" w:firstLineChars="0"/>
              <w:jc w:val="center"/>
              <w:rPr>
                <w:rFonts w:eastAsia="方正书宋简体"/>
              </w:rPr>
            </w:pPr>
            <w:r>
              <w:rPr>
                <w:rFonts w:hint="eastAsia"/>
                <w:szCs w:val="24"/>
              </w:rPr>
              <w:t>生活垃圾</w:t>
            </w:r>
          </w:p>
        </w:tc>
        <w:tc>
          <w:tcPr>
            <w:tcW w:w="2924" w:type="dxa"/>
            <w:vAlign w:val="center"/>
          </w:tcPr>
          <w:p>
            <w:pPr>
              <w:pStyle w:val="36"/>
              <w:spacing w:line="240" w:lineRule="auto"/>
              <w:ind w:firstLine="0" w:firstLineChars="0"/>
              <w:jc w:val="center"/>
              <w:rPr>
                <w:szCs w:val="21"/>
              </w:rPr>
            </w:pPr>
            <w:r>
              <w:rPr>
                <w:rFonts w:hint="eastAsia"/>
                <w:szCs w:val="21"/>
              </w:rPr>
              <w:t>环卫部门收集处置</w:t>
            </w:r>
          </w:p>
        </w:tc>
        <w:tc>
          <w:tcPr>
            <w:tcW w:w="2145" w:type="dxa"/>
            <w:vMerge w:val="restart"/>
            <w:vAlign w:val="center"/>
          </w:tcPr>
          <w:p>
            <w:pPr>
              <w:adjustRightInd w:val="0"/>
              <w:snapToGrid w:val="0"/>
              <w:jc w:val="center"/>
              <w:rPr>
                <w:rFonts w:eastAsia="宋体"/>
                <w:sz w:val="24"/>
                <w:szCs w:val="24"/>
              </w:rPr>
            </w:pPr>
            <w:r>
              <w:rPr>
                <w:rFonts w:hint="eastAsia" w:eastAsia="宋体"/>
                <w:sz w:val="24"/>
                <w:szCs w:val="24"/>
              </w:rPr>
              <w:t>合理处置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trPr>
        <w:tc>
          <w:tcPr>
            <w:tcW w:w="558" w:type="dxa"/>
            <w:vMerge w:val="continue"/>
            <w:vAlign w:val="center"/>
          </w:tcPr>
          <w:p>
            <w:pPr>
              <w:adjustRightInd w:val="0"/>
              <w:snapToGrid w:val="0"/>
              <w:jc w:val="center"/>
              <w:rPr>
                <w:rFonts w:eastAsia="宋体"/>
                <w:sz w:val="24"/>
                <w:szCs w:val="24"/>
              </w:rPr>
            </w:pPr>
          </w:p>
        </w:tc>
        <w:tc>
          <w:tcPr>
            <w:tcW w:w="558" w:type="dxa"/>
            <w:vMerge w:val="continue"/>
            <w:vAlign w:val="center"/>
          </w:tcPr>
          <w:p>
            <w:pPr>
              <w:adjustRightInd w:val="0"/>
              <w:snapToGrid w:val="0"/>
              <w:jc w:val="center"/>
              <w:rPr>
                <w:rFonts w:eastAsia="宋体"/>
                <w:sz w:val="24"/>
                <w:szCs w:val="24"/>
              </w:rPr>
            </w:pPr>
          </w:p>
        </w:tc>
        <w:tc>
          <w:tcPr>
            <w:tcW w:w="1253" w:type="dxa"/>
            <w:vAlign w:val="center"/>
          </w:tcPr>
          <w:p>
            <w:pPr>
              <w:adjustRightInd w:val="0"/>
              <w:snapToGrid w:val="0"/>
              <w:jc w:val="center"/>
              <w:rPr>
                <w:rFonts w:eastAsia="宋体"/>
                <w:sz w:val="24"/>
                <w:szCs w:val="24"/>
              </w:rPr>
            </w:pPr>
            <w:r>
              <w:rPr>
                <w:rFonts w:hint="eastAsia" w:eastAsia="宋体"/>
                <w:sz w:val="24"/>
                <w:szCs w:val="24"/>
              </w:rPr>
              <w:t>中央除尘</w:t>
            </w:r>
          </w:p>
        </w:tc>
        <w:tc>
          <w:tcPr>
            <w:tcW w:w="1444" w:type="dxa"/>
            <w:gridSpan w:val="2"/>
            <w:vAlign w:val="center"/>
          </w:tcPr>
          <w:p>
            <w:pPr>
              <w:pStyle w:val="36"/>
              <w:spacing w:line="240" w:lineRule="auto"/>
              <w:ind w:firstLine="0" w:firstLineChars="0"/>
              <w:jc w:val="center"/>
              <w:rPr>
                <w:rFonts w:eastAsia="方正书宋简体"/>
              </w:rPr>
            </w:pPr>
            <w:r>
              <w:rPr>
                <w:rFonts w:hint="eastAsia" w:eastAsia="方正书宋简体"/>
              </w:rPr>
              <w:t>收集粉尘</w:t>
            </w:r>
          </w:p>
        </w:tc>
        <w:tc>
          <w:tcPr>
            <w:tcW w:w="2924" w:type="dxa"/>
            <w:vAlign w:val="center"/>
          </w:tcPr>
          <w:p>
            <w:pPr>
              <w:pStyle w:val="36"/>
              <w:spacing w:line="240" w:lineRule="auto"/>
              <w:ind w:firstLine="0" w:firstLineChars="0"/>
              <w:jc w:val="center"/>
              <w:rPr>
                <w:szCs w:val="21"/>
              </w:rPr>
            </w:pPr>
            <w:r>
              <w:rPr>
                <w:rFonts w:hint="eastAsia"/>
                <w:szCs w:val="21"/>
              </w:rPr>
              <w:t>回用</w:t>
            </w:r>
          </w:p>
        </w:tc>
        <w:tc>
          <w:tcPr>
            <w:tcW w:w="2145" w:type="dxa"/>
            <w:vMerge w:val="continue"/>
            <w:vAlign w:val="center"/>
          </w:tcPr>
          <w:p>
            <w:pPr>
              <w:adjustRightInd w:val="0"/>
              <w:snapToGrid w:val="0"/>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trPr>
        <w:tc>
          <w:tcPr>
            <w:tcW w:w="558" w:type="dxa"/>
            <w:vMerge w:val="continue"/>
            <w:vAlign w:val="center"/>
          </w:tcPr>
          <w:p>
            <w:pPr>
              <w:adjustRightInd w:val="0"/>
              <w:snapToGrid w:val="0"/>
              <w:jc w:val="center"/>
            </w:pPr>
          </w:p>
        </w:tc>
        <w:tc>
          <w:tcPr>
            <w:tcW w:w="558" w:type="dxa"/>
            <w:vMerge w:val="continue"/>
            <w:vAlign w:val="center"/>
          </w:tcPr>
          <w:p>
            <w:pPr>
              <w:adjustRightInd w:val="0"/>
              <w:snapToGrid w:val="0"/>
              <w:jc w:val="center"/>
            </w:pPr>
          </w:p>
        </w:tc>
        <w:tc>
          <w:tcPr>
            <w:tcW w:w="1253" w:type="dxa"/>
            <w:vAlign w:val="center"/>
          </w:tcPr>
          <w:p>
            <w:pPr>
              <w:adjustRightInd w:val="0"/>
              <w:snapToGrid w:val="0"/>
              <w:jc w:val="center"/>
              <w:rPr>
                <w:rFonts w:eastAsia="宋体"/>
                <w:sz w:val="24"/>
                <w:szCs w:val="24"/>
              </w:rPr>
            </w:pPr>
            <w:r>
              <w:rPr>
                <w:rFonts w:hint="eastAsia" w:eastAsia="宋体"/>
                <w:sz w:val="24"/>
                <w:szCs w:val="24"/>
              </w:rPr>
              <w:t>原料</w:t>
            </w:r>
          </w:p>
        </w:tc>
        <w:tc>
          <w:tcPr>
            <w:tcW w:w="1444" w:type="dxa"/>
            <w:gridSpan w:val="2"/>
            <w:vAlign w:val="center"/>
          </w:tcPr>
          <w:p>
            <w:pPr>
              <w:adjustRightInd w:val="0"/>
              <w:snapToGrid w:val="0"/>
              <w:jc w:val="center"/>
              <w:rPr>
                <w:rFonts w:eastAsia="宋体"/>
                <w:sz w:val="24"/>
                <w:szCs w:val="24"/>
              </w:rPr>
            </w:pPr>
            <w:r>
              <w:rPr>
                <w:rFonts w:hint="eastAsia" w:eastAsia="宋体"/>
                <w:sz w:val="24"/>
                <w:szCs w:val="24"/>
              </w:rPr>
              <w:t>废包装袋</w:t>
            </w:r>
          </w:p>
        </w:tc>
        <w:tc>
          <w:tcPr>
            <w:tcW w:w="2924" w:type="dxa"/>
            <w:vAlign w:val="center"/>
          </w:tcPr>
          <w:p>
            <w:pPr>
              <w:adjustRightInd w:val="0"/>
              <w:snapToGrid w:val="0"/>
              <w:jc w:val="center"/>
              <w:rPr>
                <w:rFonts w:eastAsia="宋体"/>
                <w:sz w:val="24"/>
                <w:szCs w:val="24"/>
              </w:rPr>
            </w:pPr>
            <w:r>
              <w:rPr>
                <w:rFonts w:hint="eastAsia" w:eastAsia="宋体"/>
                <w:sz w:val="24"/>
                <w:szCs w:val="24"/>
              </w:rPr>
              <w:t>分类收集后暂存，定期外售</w:t>
            </w:r>
          </w:p>
        </w:tc>
        <w:tc>
          <w:tcPr>
            <w:tcW w:w="2145" w:type="dxa"/>
            <w:vMerge w:val="continue"/>
            <w:vAlign w:val="center"/>
          </w:tcPr>
          <w:p>
            <w:pPr>
              <w:adjustRightInd w:val="0"/>
              <w:snapToGrid w:val="0"/>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trPr>
        <w:tc>
          <w:tcPr>
            <w:tcW w:w="558" w:type="dxa"/>
            <w:vMerge w:val="continue"/>
            <w:vAlign w:val="center"/>
          </w:tcPr>
          <w:p>
            <w:pPr>
              <w:adjustRightInd w:val="0"/>
              <w:snapToGrid w:val="0"/>
              <w:jc w:val="center"/>
            </w:pPr>
          </w:p>
        </w:tc>
        <w:tc>
          <w:tcPr>
            <w:tcW w:w="558" w:type="dxa"/>
            <w:vMerge w:val="restart"/>
            <w:vAlign w:val="center"/>
          </w:tcPr>
          <w:p>
            <w:pPr>
              <w:adjustRightInd w:val="0"/>
              <w:snapToGrid w:val="0"/>
              <w:jc w:val="center"/>
              <w:rPr>
                <w:rFonts w:eastAsia="宋体"/>
                <w:sz w:val="24"/>
                <w:szCs w:val="24"/>
              </w:rPr>
            </w:pPr>
            <w:r>
              <w:rPr>
                <w:rFonts w:hint="eastAsia" w:eastAsia="宋体"/>
                <w:sz w:val="24"/>
                <w:szCs w:val="24"/>
              </w:rPr>
              <w:t>危险废物</w:t>
            </w:r>
          </w:p>
        </w:tc>
        <w:tc>
          <w:tcPr>
            <w:tcW w:w="1260" w:type="dxa"/>
            <w:gridSpan w:val="2"/>
            <w:vAlign w:val="center"/>
          </w:tcPr>
          <w:p>
            <w:pPr>
              <w:adjustRightInd w:val="0"/>
              <w:snapToGrid w:val="0"/>
              <w:jc w:val="center"/>
              <w:rPr>
                <w:rFonts w:eastAsia="宋体"/>
                <w:sz w:val="24"/>
                <w:szCs w:val="24"/>
              </w:rPr>
            </w:pPr>
            <w:r>
              <w:rPr>
                <w:rFonts w:hint="eastAsia" w:eastAsia="宋体"/>
                <w:sz w:val="24"/>
                <w:szCs w:val="24"/>
              </w:rPr>
              <w:t>原料</w:t>
            </w:r>
          </w:p>
        </w:tc>
        <w:tc>
          <w:tcPr>
            <w:tcW w:w="1437" w:type="dxa"/>
            <w:vAlign w:val="center"/>
          </w:tcPr>
          <w:p>
            <w:pPr>
              <w:adjustRightInd w:val="0"/>
              <w:snapToGrid w:val="0"/>
              <w:jc w:val="center"/>
              <w:rPr>
                <w:rFonts w:eastAsia="宋体"/>
                <w:sz w:val="24"/>
                <w:szCs w:val="24"/>
              </w:rPr>
            </w:pPr>
            <w:r>
              <w:rPr>
                <w:rFonts w:hint="eastAsia" w:eastAsia="宋体"/>
                <w:sz w:val="24"/>
                <w:szCs w:val="24"/>
              </w:rPr>
              <w:t>废胶桶</w:t>
            </w:r>
          </w:p>
        </w:tc>
        <w:tc>
          <w:tcPr>
            <w:tcW w:w="2924" w:type="dxa"/>
            <w:vMerge w:val="restart"/>
            <w:vAlign w:val="center"/>
          </w:tcPr>
          <w:p>
            <w:pPr>
              <w:adjustRightInd w:val="0"/>
              <w:snapToGrid w:val="0"/>
              <w:jc w:val="center"/>
              <w:rPr>
                <w:rFonts w:eastAsia="宋体"/>
                <w:sz w:val="24"/>
                <w:szCs w:val="24"/>
              </w:rPr>
            </w:pPr>
            <w:r>
              <w:rPr>
                <w:rFonts w:hint="eastAsia" w:eastAsia="宋体"/>
                <w:sz w:val="24"/>
                <w:szCs w:val="24"/>
              </w:rPr>
              <w:t>分类收集后暂存在危废间，定期交由有资质单位处理</w:t>
            </w:r>
          </w:p>
        </w:tc>
        <w:tc>
          <w:tcPr>
            <w:tcW w:w="2145" w:type="dxa"/>
            <w:vMerge w:val="continue"/>
            <w:vAlign w:val="center"/>
          </w:tcPr>
          <w:p>
            <w:pPr>
              <w:adjustRightInd w:val="0"/>
              <w:snapToGrid w:val="0"/>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558" w:type="dxa"/>
            <w:vMerge w:val="continue"/>
            <w:vAlign w:val="center"/>
          </w:tcPr>
          <w:p>
            <w:pPr>
              <w:adjustRightInd w:val="0"/>
              <w:snapToGrid w:val="0"/>
              <w:jc w:val="center"/>
            </w:pPr>
          </w:p>
        </w:tc>
        <w:tc>
          <w:tcPr>
            <w:tcW w:w="558" w:type="dxa"/>
            <w:vMerge w:val="continue"/>
            <w:vAlign w:val="center"/>
          </w:tcPr>
          <w:p>
            <w:pPr>
              <w:adjustRightInd w:val="0"/>
              <w:snapToGrid w:val="0"/>
              <w:jc w:val="center"/>
              <w:rPr>
                <w:rFonts w:eastAsia="宋体"/>
                <w:sz w:val="24"/>
                <w:szCs w:val="24"/>
              </w:rPr>
            </w:pPr>
          </w:p>
        </w:tc>
        <w:tc>
          <w:tcPr>
            <w:tcW w:w="1260" w:type="dxa"/>
            <w:gridSpan w:val="2"/>
            <w:vAlign w:val="center"/>
          </w:tcPr>
          <w:p>
            <w:pPr>
              <w:adjustRightInd w:val="0"/>
              <w:snapToGrid w:val="0"/>
              <w:jc w:val="center"/>
              <w:rPr>
                <w:rFonts w:eastAsia="宋体"/>
                <w:sz w:val="24"/>
                <w:szCs w:val="24"/>
              </w:rPr>
            </w:pPr>
            <w:r>
              <w:rPr>
                <w:rFonts w:hint="eastAsia" w:eastAsia="宋体"/>
                <w:sz w:val="24"/>
                <w:szCs w:val="24"/>
              </w:rPr>
              <w:t>油压机</w:t>
            </w:r>
          </w:p>
        </w:tc>
        <w:tc>
          <w:tcPr>
            <w:tcW w:w="1437" w:type="dxa"/>
            <w:vAlign w:val="center"/>
          </w:tcPr>
          <w:p>
            <w:pPr>
              <w:adjustRightInd w:val="0"/>
              <w:snapToGrid w:val="0"/>
              <w:jc w:val="center"/>
              <w:rPr>
                <w:rFonts w:eastAsia="宋体"/>
                <w:sz w:val="24"/>
                <w:szCs w:val="24"/>
              </w:rPr>
            </w:pPr>
            <w:r>
              <w:rPr>
                <w:rFonts w:hint="eastAsia" w:eastAsia="宋体"/>
                <w:sz w:val="24"/>
                <w:szCs w:val="24"/>
              </w:rPr>
              <w:t>废液压油</w:t>
            </w:r>
          </w:p>
        </w:tc>
        <w:tc>
          <w:tcPr>
            <w:tcW w:w="2924" w:type="dxa"/>
            <w:vMerge w:val="continue"/>
            <w:vAlign w:val="center"/>
          </w:tcPr>
          <w:p>
            <w:pPr>
              <w:adjustRightInd w:val="0"/>
              <w:snapToGrid w:val="0"/>
              <w:jc w:val="center"/>
              <w:rPr>
                <w:rFonts w:eastAsia="宋体"/>
                <w:sz w:val="24"/>
                <w:szCs w:val="24"/>
              </w:rPr>
            </w:pPr>
          </w:p>
        </w:tc>
        <w:tc>
          <w:tcPr>
            <w:tcW w:w="2145" w:type="dxa"/>
            <w:vMerge w:val="continue"/>
            <w:vAlign w:val="center"/>
          </w:tcPr>
          <w:p>
            <w:pPr>
              <w:adjustRightInd w:val="0"/>
              <w:snapToGrid w:val="0"/>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558" w:type="dxa"/>
            <w:vMerge w:val="continue"/>
            <w:vAlign w:val="center"/>
          </w:tcPr>
          <w:p>
            <w:pPr>
              <w:adjustRightInd w:val="0"/>
              <w:snapToGrid w:val="0"/>
              <w:jc w:val="center"/>
            </w:pPr>
          </w:p>
        </w:tc>
        <w:tc>
          <w:tcPr>
            <w:tcW w:w="558" w:type="dxa"/>
            <w:vMerge w:val="continue"/>
            <w:vAlign w:val="center"/>
          </w:tcPr>
          <w:p>
            <w:pPr>
              <w:adjustRightInd w:val="0"/>
              <w:snapToGrid w:val="0"/>
              <w:jc w:val="center"/>
              <w:rPr>
                <w:rFonts w:eastAsia="宋体"/>
                <w:sz w:val="24"/>
                <w:szCs w:val="24"/>
              </w:rPr>
            </w:pPr>
          </w:p>
        </w:tc>
        <w:tc>
          <w:tcPr>
            <w:tcW w:w="1260" w:type="dxa"/>
            <w:gridSpan w:val="2"/>
            <w:vAlign w:val="center"/>
          </w:tcPr>
          <w:p>
            <w:pPr>
              <w:adjustRightInd w:val="0"/>
              <w:snapToGrid w:val="0"/>
              <w:jc w:val="center"/>
              <w:rPr>
                <w:rFonts w:eastAsia="宋体"/>
                <w:sz w:val="24"/>
                <w:szCs w:val="24"/>
              </w:rPr>
            </w:pPr>
            <w:r>
              <w:rPr>
                <w:rFonts w:hint="eastAsia" w:eastAsia="宋体"/>
                <w:sz w:val="24"/>
                <w:szCs w:val="24"/>
              </w:rPr>
              <w:t>烟气治理设施</w:t>
            </w:r>
          </w:p>
        </w:tc>
        <w:tc>
          <w:tcPr>
            <w:tcW w:w="1437" w:type="dxa"/>
            <w:vAlign w:val="center"/>
          </w:tcPr>
          <w:p>
            <w:pPr>
              <w:adjustRightInd w:val="0"/>
              <w:snapToGrid w:val="0"/>
              <w:jc w:val="center"/>
              <w:rPr>
                <w:rFonts w:eastAsia="宋体"/>
                <w:sz w:val="24"/>
                <w:szCs w:val="24"/>
              </w:rPr>
            </w:pPr>
            <w:r>
              <w:rPr>
                <w:rFonts w:hint="eastAsia" w:eastAsia="宋体"/>
                <w:sz w:val="24"/>
                <w:szCs w:val="24"/>
              </w:rPr>
              <w:t>废活性炭</w:t>
            </w:r>
          </w:p>
        </w:tc>
        <w:tc>
          <w:tcPr>
            <w:tcW w:w="2924" w:type="dxa"/>
            <w:vMerge w:val="continue"/>
            <w:vAlign w:val="center"/>
          </w:tcPr>
          <w:p>
            <w:pPr>
              <w:adjustRightInd w:val="0"/>
              <w:snapToGrid w:val="0"/>
              <w:jc w:val="center"/>
              <w:rPr>
                <w:rFonts w:eastAsia="宋体"/>
                <w:sz w:val="24"/>
                <w:szCs w:val="24"/>
              </w:rPr>
            </w:pPr>
          </w:p>
        </w:tc>
        <w:tc>
          <w:tcPr>
            <w:tcW w:w="2145" w:type="dxa"/>
            <w:vMerge w:val="continue"/>
            <w:vAlign w:val="center"/>
          </w:tcPr>
          <w:p>
            <w:pPr>
              <w:adjustRightInd w:val="0"/>
              <w:snapToGrid w:val="0"/>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0" w:hRule="exact"/>
        </w:trPr>
        <w:tc>
          <w:tcPr>
            <w:tcW w:w="1116" w:type="dxa"/>
            <w:gridSpan w:val="2"/>
            <w:vAlign w:val="center"/>
          </w:tcPr>
          <w:p>
            <w:pPr>
              <w:snapToGrid w:val="0"/>
              <w:jc w:val="center"/>
              <w:rPr>
                <w:rFonts w:ascii="宋体" w:hAnsi="宋体" w:eastAsia="宋体"/>
                <w:sz w:val="24"/>
                <w:szCs w:val="24"/>
              </w:rPr>
            </w:pPr>
            <w:r>
              <w:rPr>
                <w:rFonts w:ascii="宋体" w:hAnsi="宋体" w:eastAsia="宋体"/>
                <w:sz w:val="24"/>
                <w:szCs w:val="24"/>
              </w:rPr>
              <w:t>噪</w:t>
            </w:r>
          </w:p>
          <w:p>
            <w:pPr>
              <w:snapToGrid w:val="0"/>
              <w:jc w:val="center"/>
              <w:rPr>
                <w:rFonts w:ascii="宋体" w:hAnsi="宋体" w:eastAsia="宋体"/>
                <w:sz w:val="24"/>
                <w:szCs w:val="24"/>
              </w:rPr>
            </w:pPr>
            <w:r>
              <w:rPr>
                <w:rFonts w:ascii="宋体" w:hAnsi="宋体" w:eastAsia="宋体"/>
                <w:sz w:val="24"/>
                <w:szCs w:val="24"/>
              </w:rPr>
              <w:t>声</w:t>
            </w:r>
          </w:p>
        </w:tc>
        <w:tc>
          <w:tcPr>
            <w:tcW w:w="2697" w:type="dxa"/>
            <w:gridSpan w:val="3"/>
            <w:vAlign w:val="center"/>
          </w:tcPr>
          <w:p>
            <w:pPr>
              <w:snapToGrid w:val="0"/>
              <w:jc w:val="center"/>
              <w:rPr>
                <w:rFonts w:ascii="宋体" w:hAnsi="宋体" w:eastAsia="宋体"/>
                <w:sz w:val="24"/>
                <w:szCs w:val="24"/>
              </w:rPr>
            </w:pPr>
            <w:r>
              <w:rPr>
                <w:rFonts w:hint="eastAsia" w:ascii="宋体" w:hAnsi="宋体" w:eastAsia="宋体"/>
                <w:sz w:val="24"/>
                <w:szCs w:val="24"/>
              </w:rPr>
              <w:t>设备运行噪声</w:t>
            </w:r>
          </w:p>
        </w:tc>
        <w:tc>
          <w:tcPr>
            <w:tcW w:w="2924" w:type="dxa"/>
            <w:vAlign w:val="center"/>
          </w:tcPr>
          <w:p>
            <w:pPr>
              <w:snapToGrid w:val="0"/>
              <w:jc w:val="center"/>
              <w:rPr>
                <w:rFonts w:ascii="宋体" w:hAnsi="宋体" w:eastAsia="宋体"/>
                <w:sz w:val="24"/>
                <w:szCs w:val="24"/>
              </w:rPr>
            </w:pPr>
            <w:r>
              <w:rPr>
                <w:rFonts w:hint="eastAsia" w:ascii="宋体" w:hAnsi="宋体" w:eastAsia="宋体"/>
                <w:sz w:val="24"/>
                <w:szCs w:val="24"/>
              </w:rPr>
              <w:t>选用低噪声设备并进行密闭基础隔振、隔声、绿化等措施</w:t>
            </w:r>
          </w:p>
        </w:tc>
        <w:tc>
          <w:tcPr>
            <w:tcW w:w="2145" w:type="dxa"/>
            <w:vAlign w:val="center"/>
          </w:tcPr>
          <w:p>
            <w:pPr>
              <w:snapToGrid w:val="0"/>
              <w:jc w:val="center"/>
              <w:rPr>
                <w:rFonts w:eastAsia="宋体"/>
                <w:sz w:val="24"/>
                <w:szCs w:val="24"/>
              </w:rPr>
            </w:pPr>
            <w:r>
              <w:rPr>
                <w:rFonts w:eastAsia="宋体"/>
                <w:sz w:val="24"/>
                <w:szCs w:val="24"/>
              </w:rPr>
              <w:t>《工业企业厂界环境噪声排放标准》(GB12348-2008)中</w:t>
            </w:r>
            <w:r>
              <w:rPr>
                <w:rFonts w:hint="eastAsia" w:eastAsia="宋体"/>
                <w:sz w:val="24"/>
                <w:szCs w:val="24"/>
              </w:rPr>
              <w:t>1级标准中的</w:t>
            </w:r>
            <w:r>
              <w:rPr>
                <w:rFonts w:eastAsia="宋体"/>
                <w:sz w:val="24"/>
                <w:szCs w:val="24"/>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5" w:hRule="exact"/>
        </w:trPr>
        <w:tc>
          <w:tcPr>
            <w:tcW w:w="1116" w:type="dxa"/>
            <w:gridSpan w:val="2"/>
            <w:vAlign w:val="center"/>
          </w:tcPr>
          <w:p>
            <w:pPr>
              <w:snapToGrid w:val="0"/>
              <w:jc w:val="center"/>
              <w:rPr>
                <w:rFonts w:ascii="宋体" w:hAnsi="宋体" w:eastAsia="宋体"/>
                <w:sz w:val="24"/>
                <w:szCs w:val="24"/>
              </w:rPr>
            </w:pPr>
            <w:r>
              <w:rPr>
                <w:rFonts w:hint="eastAsia" w:ascii="宋体" w:hAnsi="宋体" w:eastAsia="宋体"/>
                <w:sz w:val="24"/>
                <w:szCs w:val="24"/>
              </w:rPr>
              <w:t>其</w:t>
            </w:r>
          </w:p>
          <w:p>
            <w:pPr>
              <w:snapToGrid w:val="0"/>
              <w:jc w:val="center"/>
              <w:rPr>
                <w:rFonts w:ascii="宋体" w:hAnsi="宋体" w:eastAsia="宋体"/>
                <w:sz w:val="24"/>
                <w:szCs w:val="24"/>
              </w:rPr>
            </w:pPr>
            <w:r>
              <w:rPr>
                <w:rFonts w:hint="eastAsia" w:ascii="宋体" w:hAnsi="宋体" w:eastAsia="宋体"/>
                <w:sz w:val="24"/>
                <w:szCs w:val="24"/>
              </w:rPr>
              <w:t>它</w:t>
            </w:r>
          </w:p>
        </w:tc>
        <w:tc>
          <w:tcPr>
            <w:tcW w:w="7766" w:type="dxa"/>
            <w:gridSpan w:val="5"/>
            <w:vAlign w:val="center"/>
          </w:tcPr>
          <w:p>
            <w:pPr>
              <w:snapToGrid w:val="0"/>
              <w:jc w:val="center"/>
              <w:rPr>
                <w:rFonts w:eastAsia="宋体"/>
                <w:sz w:val="24"/>
                <w:szCs w:val="24"/>
              </w:rPr>
            </w:pPr>
            <w:r>
              <w:rPr>
                <w:rFonts w:hint="eastAsia" w:eastAsia="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0" w:hRule="exact"/>
        </w:trPr>
        <w:tc>
          <w:tcPr>
            <w:tcW w:w="8882" w:type="dxa"/>
            <w:gridSpan w:val="7"/>
            <w:vAlign w:val="center"/>
          </w:tcPr>
          <w:p>
            <w:pPr>
              <w:snapToGrid w:val="0"/>
              <w:jc w:val="left"/>
              <w:rPr>
                <w:rFonts w:eastAsia="宋体"/>
                <w:sz w:val="24"/>
                <w:szCs w:val="24"/>
              </w:rPr>
            </w:pPr>
            <w:r>
              <w:rPr>
                <w:rFonts w:hint="eastAsia" w:eastAsia="宋体"/>
                <w:sz w:val="24"/>
                <w:szCs w:val="24"/>
              </w:rPr>
              <w:t>生态保护措施及预期效果：</w:t>
            </w:r>
          </w:p>
          <w:p>
            <w:pPr>
              <w:snapToGrid w:val="0"/>
              <w:spacing w:line="360" w:lineRule="auto"/>
              <w:ind w:firstLine="480" w:firstLineChars="200"/>
              <w:rPr>
                <w:rFonts w:eastAsia="宋体"/>
                <w:sz w:val="24"/>
                <w:szCs w:val="24"/>
              </w:rPr>
            </w:pPr>
            <w:r>
              <w:rPr>
                <w:rFonts w:eastAsia="宋体"/>
                <w:sz w:val="24"/>
                <w:szCs w:val="24"/>
              </w:rPr>
              <w:t>1</w:t>
            </w:r>
            <w:r>
              <w:rPr>
                <w:rFonts w:hint="eastAsia" w:eastAsia="宋体"/>
                <w:sz w:val="24"/>
                <w:szCs w:val="24"/>
              </w:rPr>
              <w:t>、合理厂区内的生产布局，防治内环境的污染。</w:t>
            </w:r>
          </w:p>
          <w:p>
            <w:pPr>
              <w:snapToGrid w:val="0"/>
              <w:spacing w:line="360" w:lineRule="auto"/>
              <w:ind w:firstLine="480" w:firstLineChars="200"/>
              <w:rPr>
                <w:rFonts w:eastAsia="宋体"/>
                <w:sz w:val="24"/>
                <w:szCs w:val="24"/>
              </w:rPr>
            </w:pPr>
            <w:r>
              <w:rPr>
                <w:rFonts w:eastAsia="宋体"/>
                <w:sz w:val="24"/>
                <w:szCs w:val="24"/>
              </w:rPr>
              <w:t>2</w:t>
            </w:r>
            <w:r>
              <w:rPr>
                <w:rFonts w:hint="eastAsia" w:eastAsia="宋体"/>
                <w:sz w:val="24"/>
                <w:szCs w:val="24"/>
              </w:rPr>
              <w:t>、按上述措施对各种污染物进行有效的治理，可降低其对周围生态环境的影响，并搞好周围的绿化、美化，以减少对附近区域生态环境的影响。</w:t>
            </w:r>
          </w:p>
          <w:p>
            <w:pPr>
              <w:snapToGrid w:val="0"/>
              <w:spacing w:line="360" w:lineRule="auto"/>
              <w:ind w:firstLine="480" w:firstLineChars="200"/>
              <w:rPr>
                <w:rFonts w:eastAsia="宋体"/>
                <w:sz w:val="24"/>
                <w:szCs w:val="24"/>
              </w:rPr>
            </w:pPr>
            <w:r>
              <w:rPr>
                <w:rFonts w:eastAsia="宋体"/>
                <w:sz w:val="24"/>
                <w:szCs w:val="24"/>
              </w:rPr>
              <w:t>3</w:t>
            </w:r>
            <w:r>
              <w:rPr>
                <w:rFonts w:hint="eastAsia" w:eastAsia="宋体"/>
                <w:sz w:val="24"/>
                <w:szCs w:val="24"/>
              </w:rPr>
              <w:t>、实施清洁生产，从源头到污染物的排放全过程控制，实现节能、降耗、减污、增效的目标。</w:t>
            </w:r>
          </w:p>
          <w:p>
            <w:pPr>
              <w:snapToGrid w:val="0"/>
              <w:spacing w:line="360" w:lineRule="auto"/>
              <w:ind w:firstLine="480" w:firstLineChars="200"/>
              <w:rPr>
                <w:rFonts w:eastAsia="宋体"/>
                <w:sz w:val="24"/>
                <w:szCs w:val="24"/>
              </w:rPr>
            </w:pPr>
            <w:r>
              <w:rPr>
                <w:rFonts w:eastAsia="宋体"/>
                <w:sz w:val="24"/>
                <w:szCs w:val="24"/>
              </w:rPr>
              <w:t>4</w:t>
            </w:r>
            <w:r>
              <w:rPr>
                <w:rFonts w:hint="eastAsia" w:eastAsia="宋体"/>
                <w:sz w:val="24"/>
                <w:szCs w:val="24"/>
              </w:rPr>
              <w:t>、加强生态建设，实行综合利用和资源化再生产。</w:t>
            </w:r>
          </w:p>
        </w:tc>
      </w:tr>
    </w:tbl>
    <w:p>
      <w:pPr>
        <w:pStyle w:val="36"/>
        <w:spacing w:line="360" w:lineRule="auto"/>
        <w:ind w:firstLine="0" w:firstLineChars="0"/>
        <w:rPr>
          <w:rFonts w:ascii="宋体" w:hAnsi="宋体"/>
          <w:b/>
          <w:color w:val="FF0000"/>
          <w:szCs w:val="24"/>
        </w:rPr>
        <w:sectPr>
          <w:pgSz w:w="11906" w:h="16838"/>
          <w:pgMar w:top="1701" w:right="1701" w:bottom="1843" w:left="1701" w:header="851" w:footer="992" w:gutter="0"/>
          <w:cols w:space="720" w:num="1"/>
          <w:docGrid w:type="lines" w:linePitch="480" w:charSpace="0"/>
        </w:sectPr>
      </w:pPr>
    </w:p>
    <w:p>
      <w:pPr>
        <w:rPr>
          <w:rFonts w:ascii="宋体" w:hAnsi="宋体" w:eastAsia="宋体"/>
          <w:b/>
          <w:sz w:val="24"/>
          <w:szCs w:val="24"/>
        </w:rPr>
      </w:pPr>
      <w:r>
        <w:rPr>
          <w:rFonts w:ascii="宋体" w:hAnsi="宋体" w:eastAsia="宋体"/>
          <w:b/>
          <w:sz w:val="24"/>
          <w:szCs w:val="24"/>
        </w:rPr>
        <w:t>结论与建议</w:t>
      </w:r>
    </w:p>
    <w:tbl>
      <w:tblPr>
        <w:tblStyle w:val="2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5" w:hRule="atLeast"/>
        </w:trPr>
        <w:tc>
          <w:tcPr>
            <w:tcW w:w="8720" w:type="dxa"/>
          </w:tcPr>
          <w:p>
            <w:pPr>
              <w:snapToGrid w:val="0"/>
              <w:spacing w:line="360" w:lineRule="auto"/>
              <w:ind w:firstLine="480" w:firstLineChars="200"/>
              <w:rPr>
                <w:rFonts w:eastAsia="宋体"/>
                <w:sz w:val="24"/>
                <w:szCs w:val="24"/>
              </w:rPr>
            </w:pPr>
            <w:r>
              <w:rPr>
                <w:rFonts w:eastAsia="宋体"/>
                <w:sz w:val="24"/>
                <w:szCs w:val="24"/>
              </w:rPr>
              <w:t>1</w:t>
            </w:r>
            <w:r>
              <w:rPr>
                <w:rFonts w:hint="eastAsia" w:eastAsia="宋体"/>
                <w:sz w:val="24"/>
                <w:szCs w:val="24"/>
              </w:rPr>
              <w:t>、项目概况</w:t>
            </w:r>
          </w:p>
          <w:p>
            <w:pPr>
              <w:snapToGrid w:val="0"/>
              <w:spacing w:line="360" w:lineRule="auto"/>
              <w:ind w:firstLine="480" w:firstLineChars="200"/>
              <w:rPr>
                <w:rFonts w:eastAsia="宋体"/>
                <w:sz w:val="24"/>
                <w:szCs w:val="24"/>
              </w:rPr>
            </w:pPr>
            <w:r>
              <w:rPr>
                <w:rFonts w:hint="eastAsia" w:eastAsia="宋体"/>
                <w:sz w:val="24"/>
                <w:szCs w:val="24"/>
              </w:rPr>
              <w:t>辽宁恒久斯特消防科技有限公司位于锦州松山新区松山街道北三道壕子村，占地面积</w:t>
            </w:r>
            <w:r>
              <w:rPr>
                <w:rFonts w:eastAsia="宋体"/>
                <w:sz w:val="24"/>
                <w:szCs w:val="24"/>
              </w:rPr>
              <w:t>600m</w:t>
            </w:r>
            <w:r>
              <w:rPr>
                <w:rFonts w:eastAsia="宋体"/>
                <w:sz w:val="24"/>
                <w:szCs w:val="24"/>
                <w:vertAlign w:val="superscript"/>
              </w:rPr>
              <w:t>2</w:t>
            </w:r>
            <w:r>
              <w:rPr>
                <w:rFonts w:hint="eastAsia" w:eastAsia="宋体"/>
                <w:sz w:val="24"/>
                <w:szCs w:val="24"/>
              </w:rPr>
              <w:t>，建筑面积</w:t>
            </w:r>
            <w:r>
              <w:rPr>
                <w:rFonts w:eastAsia="宋体"/>
                <w:sz w:val="24"/>
                <w:szCs w:val="24"/>
              </w:rPr>
              <w:t>1600 m</w:t>
            </w:r>
            <w:r>
              <w:rPr>
                <w:rFonts w:eastAsia="宋体"/>
                <w:sz w:val="24"/>
                <w:szCs w:val="24"/>
                <w:vertAlign w:val="superscript"/>
              </w:rPr>
              <w:t>2</w:t>
            </w:r>
            <w:r>
              <w:rPr>
                <w:rFonts w:hint="eastAsia" w:eastAsia="宋体"/>
                <w:sz w:val="24"/>
                <w:szCs w:val="24"/>
              </w:rPr>
              <w:t>，用地性质为工业用地（土地证明见附件），总投资</w:t>
            </w:r>
            <w:r>
              <w:rPr>
                <w:rFonts w:eastAsia="宋体"/>
                <w:sz w:val="24"/>
                <w:szCs w:val="24"/>
              </w:rPr>
              <w:t>320</w:t>
            </w:r>
            <w:r>
              <w:rPr>
                <w:rFonts w:hint="eastAsia" w:eastAsia="宋体"/>
                <w:sz w:val="24"/>
                <w:szCs w:val="24"/>
              </w:rPr>
              <w:t>万元，购置搅拌机、油压机等设备，建设阻火模块项目，项目建成后可形成年产</w:t>
            </w:r>
            <w:r>
              <w:rPr>
                <w:rFonts w:eastAsia="宋体"/>
                <w:sz w:val="24"/>
                <w:szCs w:val="24"/>
              </w:rPr>
              <w:t>650</w:t>
            </w:r>
            <w:r>
              <w:rPr>
                <w:rFonts w:hint="eastAsia" w:eastAsia="宋体"/>
                <w:sz w:val="24"/>
                <w:szCs w:val="24"/>
              </w:rPr>
              <w:t>立方阻火模块生产能力。</w:t>
            </w:r>
          </w:p>
          <w:p>
            <w:pPr>
              <w:snapToGrid w:val="0"/>
              <w:spacing w:line="360" w:lineRule="auto"/>
              <w:ind w:firstLine="480" w:firstLineChars="200"/>
              <w:rPr>
                <w:rFonts w:eastAsia="宋体"/>
                <w:sz w:val="24"/>
                <w:szCs w:val="24"/>
              </w:rPr>
            </w:pPr>
            <w:r>
              <w:rPr>
                <w:rFonts w:eastAsia="宋体"/>
                <w:sz w:val="24"/>
                <w:szCs w:val="24"/>
              </w:rPr>
              <w:t>2</w:t>
            </w:r>
            <w:r>
              <w:rPr>
                <w:rFonts w:hint="eastAsia" w:eastAsia="宋体"/>
                <w:sz w:val="24"/>
                <w:szCs w:val="24"/>
              </w:rPr>
              <w:t>、环境质量现状</w:t>
            </w:r>
          </w:p>
          <w:p>
            <w:pPr>
              <w:snapToGrid w:val="0"/>
              <w:spacing w:line="360" w:lineRule="auto"/>
              <w:ind w:firstLine="480" w:firstLineChars="200"/>
              <w:rPr>
                <w:rFonts w:eastAsia="宋体"/>
                <w:sz w:val="24"/>
                <w:szCs w:val="24"/>
              </w:rPr>
            </w:pPr>
            <w:r>
              <w:rPr>
                <w:rFonts w:hint="eastAsia" w:eastAsia="宋体"/>
                <w:sz w:val="24"/>
                <w:szCs w:val="24"/>
              </w:rPr>
              <w:t>项目所在区域的声环境较好，根据监测结果，项目厂界四周各监测点噪声值均达到《声环境质量标准》</w:t>
            </w:r>
            <w:r>
              <w:rPr>
                <w:rFonts w:eastAsia="宋体"/>
                <w:sz w:val="24"/>
                <w:szCs w:val="24"/>
              </w:rPr>
              <w:t xml:space="preserve">(GB3096-2008)1 </w:t>
            </w:r>
            <w:r>
              <w:rPr>
                <w:rFonts w:hint="eastAsia" w:eastAsia="宋体"/>
                <w:sz w:val="24"/>
                <w:szCs w:val="24"/>
              </w:rPr>
              <w:t>类标准。可达到相应的环境功能区划要求。锦州市</w:t>
            </w:r>
            <w:r>
              <w:rPr>
                <w:rFonts w:eastAsia="宋体"/>
                <w:sz w:val="24"/>
                <w:szCs w:val="24"/>
              </w:rPr>
              <w:t>PM10</w:t>
            </w:r>
            <w:r>
              <w:rPr>
                <w:rFonts w:hint="eastAsia" w:eastAsia="宋体"/>
                <w:sz w:val="24"/>
                <w:szCs w:val="24"/>
              </w:rPr>
              <w:t>、</w:t>
            </w:r>
            <w:r>
              <w:rPr>
                <w:rFonts w:eastAsia="宋体"/>
                <w:sz w:val="24"/>
                <w:szCs w:val="24"/>
              </w:rPr>
              <w:t>PM2.5</w:t>
            </w:r>
            <w:r>
              <w:rPr>
                <w:rFonts w:hint="eastAsia" w:eastAsia="宋体"/>
                <w:sz w:val="24"/>
                <w:szCs w:val="24"/>
              </w:rPr>
              <w:t>年均值超标，不满足《环境空气质量标准》（</w:t>
            </w:r>
            <w:r>
              <w:rPr>
                <w:rFonts w:eastAsia="宋体"/>
                <w:sz w:val="24"/>
                <w:szCs w:val="24"/>
              </w:rPr>
              <w:t>GB3095-2012</w:t>
            </w:r>
            <w:r>
              <w:rPr>
                <w:rFonts w:hint="eastAsia" w:eastAsia="宋体"/>
                <w:sz w:val="24"/>
                <w:szCs w:val="24"/>
              </w:rPr>
              <w:t>）（</w:t>
            </w:r>
            <w:r>
              <w:rPr>
                <w:rFonts w:eastAsia="宋体"/>
                <w:sz w:val="24"/>
                <w:szCs w:val="24"/>
              </w:rPr>
              <w:t>2018</w:t>
            </w:r>
            <w:r>
              <w:rPr>
                <w:rFonts w:hint="eastAsia" w:eastAsia="宋体"/>
                <w:sz w:val="24"/>
                <w:szCs w:val="24"/>
              </w:rPr>
              <w:t>年修改单）中的二级标准限值要求，其它基本污染物满足《环境空气质量标准》（</w:t>
            </w:r>
            <w:r>
              <w:rPr>
                <w:rFonts w:eastAsia="宋体"/>
                <w:sz w:val="24"/>
                <w:szCs w:val="24"/>
              </w:rPr>
              <w:t>GB3095-2012</w:t>
            </w:r>
            <w:r>
              <w:rPr>
                <w:rFonts w:hint="eastAsia" w:eastAsia="宋体"/>
                <w:sz w:val="24"/>
                <w:szCs w:val="24"/>
              </w:rPr>
              <w:t>）（</w:t>
            </w:r>
            <w:r>
              <w:rPr>
                <w:rFonts w:eastAsia="宋体"/>
                <w:sz w:val="24"/>
                <w:szCs w:val="24"/>
              </w:rPr>
              <w:t>2018</w:t>
            </w:r>
            <w:r>
              <w:rPr>
                <w:rFonts w:hint="eastAsia" w:eastAsia="宋体"/>
                <w:sz w:val="24"/>
                <w:szCs w:val="24"/>
              </w:rPr>
              <w:t>年修改单）中的二级标准限值要求，规划区大气环境质量判定为不达标区。本项目为阻火模块生产项目，营运期对周围环境的影响较小，不会明显改变区域环境质量现状的要求。</w:t>
            </w:r>
          </w:p>
          <w:p>
            <w:pPr>
              <w:snapToGrid w:val="0"/>
              <w:spacing w:line="360" w:lineRule="auto"/>
              <w:ind w:firstLine="480" w:firstLineChars="200"/>
              <w:rPr>
                <w:rFonts w:eastAsia="宋体"/>
                <w:sz w:val="24"/>
                <w:szCs w:val="24"/>
              </w:rPr>
            </w:pPr>
            <w:r>
              <w:rPr>
                <w:rFonts w:eastAsia="宋体"/>
                <w:sz w:val="24"/>
                <w:szCs w:val="24"/>
              </w:rPr>
              <w:t>3</w:t>
            </w:r>
            <w:r>
              <w:rPr>
                <w:rFonts w:hint="eastAsia" w:eastAsia="宋体"/>
                <w:sz w:val="24"/>
                <w:szCs w:val="24"/>
              </w:rPr>
              <w:t>、环境影响评价结论</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1</w:t>
            </w:r>
            <w:r>
              <w:rPr>
                <w:rFonts w:hint="eastAsia" w:eastAsia="宋体"/>
                <w:sz w:val="24"/>
                <w:szCs w:val="24"/>
              </w:rPr>
              <w:t>）环境空气影响评价结论</w:t>
            </w:r>
          </w:p>
          <w:p>
            <w:pPr>
              <w:snapToGrid w:val="0"/>
              <w:spacing w:line="360" w:lineRule="auto"/>
              <w:ind w:firstLine="480" w:firstLineChars="200"/>
              <w:rPr>
                <w:rFonts w:eastAsia="宋体"/>
                <w:sz w:val="24"/>
                <w:szCs w:val="24"/>
              </w:rPr>
            </w:pPr>
            <w:r>
              <w:rPr>
                <w:rFonts w:hint="eastAsia" w:eastAsia="宋体"/>
                <w:sz w:val="24"/>
                <w:szCs w:val="24"/>
              </w:rPr>
              <w:t>项目在密闭车间内进行，不产生无组织排放。投料及搅拌工序粉尘收集后经布袋除尘处理设施进行处理、非甲烷总烃经活性炭吸附后经</w:t>
            </w:r>
            <w:r>
              <w:rPr>
                <w:rFonts w:eastAsia="宋体"/>
                <w:sz w:val="24"/>
                <w:szCs w:val="24"/>
              </w:rPr>
              <w:t>15</w:t>
            </w:r>
            <w:r>
              <w:rPr>
                <w:rFonts w:hint="eastAsia" w:eastAsia="宋体"/>
                <w:sz w:val="24"/>
                <w:szCs w:val="24"/>
              </w:rPr>
              <w:t>米高排气筒达标排放，不会对项目周围大气环境造成明显影响。</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2</w:t>
            </w:r>
            <w:r>
              <w:rPr>
                <w:rFonts w:hint="eastAsia" w:eastAsia="宋体"/>
                <w:sz w:val="24"/>
                <w:szCs w:val="24"/>
              </w:rPr>
              <w:t>）水环境影响评价结论</w:t>
            </w:r>
          </w:p>
          <w:p>
            <w:pPr>
              <w:snapToGrid w:val="0"/>
              <w:spacing w:line="360" w:lineRule="auto"/>
              <w:ind w:firstLine="480" w:firstLineChars="200"/>
              <w:rPr>
                <w:rFonts w:eastAsia="宋体"/>
                <w:sz w:val="24"/>
                <w:szCs w:val="24"/>
              </w:rPr>
            </w:pPr>
            <w:r>
              <w:rPr>
                <w:rFonts w:hint="eastAsia" w:eastAsia="宋体"/>
                <w:sz w:val="24"/>
                <w:szCs w:val="24"/>
              </w:rPr>
              <w:t>项目无生产废水产生，生活污水排入旱厕，环卫部门定期收集处置，不外排。对水环境无影响。</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3</w:t>
            </w:r>
            <w:r>
              <w:rPr>
                <w:rFonts w:hint="eastAsia" w:eastAsia="宋体"/>
                <w:sz w:val="24"/>
                <w:szCs w:val="24"/>
              </w:rPr>
              <w:t>）声环境影响评价结论</w:t>
            </w:r>
          </w:p>
          <w:p>
            <w:pPr>
              <w:snapToGrid w:val="0"/>
              <w:spacing w:line="360" w:lineRule="auto"/>
              <w:ind w:firstLine="480" w:firstLineChars="200"/>
              <w:rPr>
                <w:rFonts w:eastAsia="宋体"/>
                <w:sz w:val="24"/>
                <w:szCs w:val="24"/>
              </w:rPr>
            </w:pPr>
            <w:r>
              <w:rPr>
                <w:rFonts w:hint="eastAsia" w:eastAsia="宋体"/>
                <w:sz w:val="24"/>
                <w:szCs w:val="24"/>
              </w:rPr>
              <w:t>通过对噪声源采取隔音、减振措施，使得项目产生的噪声达到《工业企业厂界环境噪声排放标准》（</w:t>
            </w:r>
            <w:r>
              <w:rPr>
                <w:rFonts w:eastAsia="宋体"/>
                <w:sz w:val="24"/>
                <w:szCs w:val="24"/>
              </w:rPr>
              <w:t>GB12348-2008</w:t>
            </w:r>
            <w:r>
              <w:rPr>
                <w:rFonts w:hint="eastAsia" w:eastAsia="宋体"/>
                <w:sz w:val="24"/>
                <w:szCs w:val="24"/>
              </w:rPr>
              <w:t>）</w:t>
            </w:r>
            <w:r>
              <w:rPr>
                <w:rFonts w:eastAsia="宋体"/>
                <w:sz w:val="24"/>
                <w:szCs w:val="24"/>
              </w:rPr>
              <w:t>1</w:t>
            </w:r>
            <w:r>
              <w:rPr>
                <w:rFonts w:hint="eastAsia" w:eastAsia="宋体"/>
                <w:sz w:val="24"/>
                <w:szCs w:val="24"/>
              </w:rPr>
              <w:t>类标准要求，对周围环境影响较小。</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4</w:t>
            </w:r>
            <w:r>
              <w:rPr>
                <w:rFonts w:hint="eastAsia" w:eastAsia="宋体"/>
                <w:sz w:val="24"/>
                <w:szCs w:val="24"/>
              </w:rPr>
              <w:t>）固体废物影响评价结论</w:t>
            </w:r>
          </w:p>
          <w:p>
            <w:pPr>
              <w:snapToGrid w:val="0"/>
              <w:spacing w:line="360" w:lineRule="auto"/>
              <w:ind w:firstLine="480" w:firstLineChars="200"/>
              <w:rPr>
                <w:rFonts w:eastAsia="宋体"/>
                <w:sz w:val="24"/>
                <w:szCs w:val="24"/>
              </w:rPr>
            </w:pPr>
            <w:r>
              <w:rPr>
                <w:rFonts w:hint="eastAsia" w:eastAsia="宋体"/>
                <w:sz w:val="24"/>
                <w:szCs w:val="24"/>
              </w:rPr>
              <w:t>项目回收的粉尘回用，原料包装袋外售，废液压油、废活性炭和废包装桶属于危险固废，交给资质单位处理，并执行危险废物转移联单；员工生活垃圾同环卫清运系统统一处理，项目产生的固体废物经处理后不会对环境造成影响。</w:t>
            </w:r>
          </w:p>
          <w:p>
            <w:pPr>
              <w:snapToGrid w:val="0"/>
              <w:spacing w:line="360" w:lineRule="auto"/>
              <w:ind w:firstLine="480" w:firstLineChars="200"/>
              <w:rPr>
                <w:rFonts w:eastAsia="宋体"/>
                <w:sz w:val="24"/>
                <w:szCs w:val="24"/>
              </w:rPr>
            </w:pPr>
            <w:r>
              <w:rPr>
                <w:rFonts w:eastAsia="宋体"/>
                <w:sz w:val="24"/>
                <w:szCs w:val="24"/>
              </w:rPr>
              <w:t>4</w:t>
            </w:r>
            <w:r>
              <w:rPr>
                <w:rFonts w:hint="eastAsia" w:eastAsia="宋体"/>
                <w:sz w:val="24"/>
                <w:szCs w:val="24"/>
              </w:rPr>
              <w:t>、项目产业政策与规划的符合性</w:t>
            </w:r>
          </w:p>
          <w:p>
            <w:pPr>
              <w:snapToGrid w:val="0"/>
              <w:spacing w:line="360" w:lineRule="auto"/>
              <w:ind w:firstLine="480" w:firstLineChars="200"/>
              <w:rPr>
                <w:rFonts w:eastAsia="宋体"/>
                <w:sz w:val="24"/>
                <w:szCs w:val="24"/>
              </w:rPr>
            </w:pPr>
            <w:r>
              <w:rPr>
                <w:rFonts w:hint="eastAsia" w:eastAsia="宋体"/>
                <w:sz w:val="24"/>
                <w:szCs w:val="24"/>
              </w:rPr>
              <w:t>本项目经营内容不在中华人民共和国国家发展和改革委员会颁布的《产业结构调整指导目录（</w:t>
            </w:r>
            <w:r>
              <w:rPr>
                <w:rFonts w:eastAsia="宋体"/>
                <w:sz w:val="24"/>
                <w:szCs w:val="24"/>
              </w:rPr>
              <w:t>2019</w:t>
            </w:r>
            <w:r>
              <w:rPr>
                <w:rFonts w:hint="eastAsia" w:eastAsia="宋体"/>
                <w:sz w:val="24"/>
                <w:szCs w:val="24"/>
              </w:rPr>
              <w:t>年本）》及《辽宁省产业发展指导目录（</w:t>
            </w:r>
            <w:r>
              <w:rPr>
                <w:rFonts w:eastAsia="宋体"/>
                <w:sz w:val="24"/>
                <w:szCs w:val="24"/>
              </w:rPr>
              <w:t>2008</w:t>
            </w:r>
            <w:r>
              <w:rPr>
                <w:rFonts w:hint="eastAsia" w:eastAsia="宋体"/>
                <w:sz w:val="24"/>
                <w:szCs w:val="24"/>
              </w:rPr>
              <w:t>年本）》中的</w:t>
            </w:r>
            <w:r>
              <w:rPr>
                <w:rFonts w:hint="cs" w:eastAsia="宋体"/>
                <w:sz w:val="24"/>
                <w:szCs w:val="24"/>
              </w:rPr>
              <w:t>“</w:t>
            </w:r>
            <w:r>
              <w:rPr>
                <w:rFonts w:hint="eastAsia" w:eastAsia="宋体"/>
                <w:sz w:val="24"/>
                <w:szCs w:val="24"/>
              </w:rPr>
              <w:t>鼓励类</w:t>
            </w:r>
            <w:r>
              <w:rPr>
                <w:rFonts w:hint="cs" w:eastAsia="宋体"/>
                <w:sz w:val="24"/>
                <w:szCs w:val="24"/>
              </w:rPr>
              <w:t>”</w:t>
            </w:r>
            <w:r>
              <w:rPr>
                <w:rFonts w:hint="eastAsia" w:eastAsia="宋体"/>
                <w:sz w:val="24"/>
                <w:szCs w:val="24"/>
              </w:rPr>
              <w:t>、</w:t>
            </w:r>
            <w:r>
              <w:rPr>
                <w:rFonts w:hint="cs" w:eastAsia="宋体"/>
                <w:sz w:val="24"/>
                <w:szCs w:val="24"/>
              </w:rPr>
              <w:t>“</w:t>
            </w:r>
            <w:r>
              <w:rPr>
                <w:rFonts w:hint="eastAsia" w:eastAsia="宋体"/>
                <w:sz w:val="24"/>
                <w:szCs w:val="24"/>
              </w:rPr>
              <w:t>限制类</w:t>
            </w:r>
            <w:r>
              <w:rPr>
                <w:rFonts w:hint="cs" w:eastAsia="宋体"/>
                <w:sz w:val="24"/>
                <w:szCs w:val="24"/>
              </w:rPr>
              <w:t>”</w:t>
            </w:r>
            <w:r>
              <w:rPr>
                <w:rFonts w:hint="eastAsia" w:eastAsia="宋体"/>
                <w:sz w:val="24"/>
                <w:szCs w:val="24"/>
              </w:rPr>
              <w:t>和</w:t>
            </w:r>
            <w:r>
              <w:rPr>
                <w:rFonts w:hint="cs" w:eastAsia="宋体"/>
                <w:sz w:val="24"/>
                <w:szCs w:val="24"/>
              </w:rPr>
              <w:t>“</w:t>
            </w:r>
            <w:r>
              <w:rPr>
                <w:rFonts w:hint="eastAsia" w:eastAsia="宋体"/>
                <w:sz w:val="24"/>
                <w:szCs w:val="24"/>
              </w:rPr>
              <w:t>淘汰类</w:t>
            </w:r>
            <w:r>
              <w:rPr>
                <w:rFonts w:hint="cs" w:eastAsia="宋体"/>
                <w:sz w:val="24"/>
                <w:szCs w:val="24"/>
              </w:rPr>
              <w:t>”</w:t>
            </w:r>
            <w:r>
              <w:rPr>
                <w:rFonts w:hint="eastAsia" w:eastAsia="宋体"/>
                <w:sz w:val="24"/>
                <w:szCs w:val="24"/>
              </w:rPr>
              <w:t>范围内，属于</w:t>
            </w:r>
            <w:r>
              <w:rPr>
                <w:rFonts w:hint="cs" w:eastAsia="宋体"/>
                <w:sz w:val="24"/>
                <w:szCs w:val="24"/>
              </w:rPr>
              <w:t>“</w:t>
            </w:r>
            <w:r>
              <w:rPr>
                <w:rFonts w:hint="eastAsia" w:eastAsia="宋体"/>
                <w:sz w:val="24"/>
                <w:szCs w:val="24"/>
              </w:rPr>
              <w:t>允许类</w:t>
            </w:r>
            <w:r>
              <w:rPr>
                <w:rFonts w:hint="cs" w:eastAsia="宋体"/>
                <w:sz w:val="24"/>
                <w:szCs w:val="24"/>
              </w:rPr>
              <w:t>”</w:t>
            </w:r>
            <w:r>
              <w:rPr>
                <w:rFonts w:hint="eastAsia" w:eastAsia="宋体"/>
                <w:sz w:val="24"/>
                <w:szCs w:val="24"/>
              </w:rPr>
              <w:t>，符合国家及地方产业政策。</w:t>
            </w:r>
          </w:p>
          <w:p>
            <w:pPr>
              <w:snapToGrid w:val="0"/>
              <w:spacing w:line="360" w:lineRule="auto"/>
              <w:ind w:firstLine="480" w:firstLineChars="200"/>
              <w:rPr>
                <w:rFonts w:eastAsia="宋体"/>
                <w:sz w:val="24"/>
                <w:szCs w:val="24"/>
              </w:rPr>
            </w:pPr>
            <w:r>
              <w:rPr>
                <w:rFonts w:eastAsia="宋体"/>
                <w:sz w:val="24"/>
                <w:szCs w:val="24"/>
              </w:rPr>
              <w:t>5</w:t>
            </w:r>
            <w:r>
              <w:rPr>
                <w:rFonts w:hint="eastAsia" w:eastAsia="宋体"/>
                <w:sz w:val="24"/>
                <w:szCs w:val="24"/>
              </w:rPr>
              <w:t>、综合结论</w:t>
            </w:r>
          </w:p>
          <w:p>
            <w:pPr>
              <w:snapToGrid w:val="0"/>
              <w:spacing w:line="360" w:lineRule="auto"/>
              <w:ind w:firstLine="480" w:firstLineChars="200"/>
              <w:rPr>
                <w:rFonts w:eastAsia="宋体"/>
                <w:sz w:val="24"/>
                <w:szCs w:val="24"/>
              </w:rPr>
            </w:pPr>
            <w:r>
              <w:rPr>
                <w:rFonts w:hint="eastAsia" w:eastAsia="宋体"/>
                <w:sz w:val="24"/>
                <w:szCs w:val="24"/>
              </w:rPr>
              <w:t>通过上述分析，按拟建功能和规模，项目有利于当地经济的发展，具有较好的经济和社会效益。项目符合国家和地方产业政策，符合当地城市规划和环境保护规划，贯彻了</w:t>
            </w:r>
            <w:r>
              <w:rPr>
                <w:rFonts w:hint="cs" w:eastAsia="宋体"/>
                <w:sz w:val="24"/>
                <w:szCs w:val="24"/>
              </w:rPr>
              <w:t>“</w:t>
            </w:r>
            <w:r>
              <w:rPr>
                <w:rFonts w:hint="eastAsia" w:eastAsia="宋体"/>
                <w:sz w:val="24"/>
                <w:szCs w:val="24"/>
              </w:rPr>
              <w:t>清洁生产、总量控制和达标排放</w:t>
            </w:r>
            <w:r>
              <w:rPr>
                <w:rFonts w:hint="cs" w:eastAsia="宋体"/>
                <w:sz w:val="24"/>
                <w:szCs w:val="24"/>
              </w:rPr>
              <w:t>”</w:t>
            </w:r>
            <w:r>
              <w:rPr>
                <w:rFonts w:hint="eastAsia" w:eastAsia="宋体"/>
                <w:sz w:val="24"/>
                <w:szCs w:val="24"/>
              </w:rPr>
              <w:t>的原则，采取的</w:t>
            </w:r>
            <w:r>
              <w:rPr>
                <w:rFonts w:hint="cs" w:eastAsia="宋体"/>
                <w:sz w:val="24"/>
                <w:szCs w:val="24"/>
              </w:rPr>
              <w:t>“</w:t>
            </w:r>
            <w:r>
              <w:rPr>
                <w:rFonts w:hint="eastAsia" w:eastAsia="宋体"/>
                <w:sz w:val="24"/>
                <w:szCs w:val="24"/>
              </w:rPr>
              <w:t>三废</w:t>
            </w:r>
            <w:r>
              <w:rPr>
                <w:rFonts w:hint="cs" w:eastAsia="宋体"/>
                <w:sz w:val="24"/>
                <w:szCs w:val="24"/>
              </w:rPr>
              <w:t>”</w:t>
            </w:r>
            <w:r>
              <w:rPr>
                <w:rFonts w:hint="eastAsia" w:eastAsia="宋体"/>
                <w:sz w:val="24"/>
                <w:szCs w:val="24"/>
              </w:rPr>
              <w:t>治理措施经济技术可行、有效，工程实施后可满足当地环境质量要求。评价认为，在确保各项污染治理措施</w:t>
            </w:r>
            <w:r>
              <w:rPr>
                <w:rFonts w:hint="cs" w:eastAsia="宋体"/>
                <w:sz w:val="24"/>
                <w:szCs w:val="24"/>
              </w:rPr>
              <w:t>“</w:t>
            </w:r>
            <w:r>
              <w:rPr>
                <w:rFonts w:hint="eastAsia" w:eastAsia="宋体"/>
                <w:sz w:val="24"/>
                <w:szCs w:val="24"/>
              </w:rPr>
              <w:t>三同时</w:t>
            </w:r>
            <w:r>
              <w:rPr>
                <w:rFonts w:hint="cs" w:eastAsia="宋体"/>
                <w:sz w:val="24"/>
                <w:szCs w:val="24"/>
              </w:rPr>
              <w:t>”</w:t>
            </w:r>
            <w:r>
              <w:rPr>
                <w:rFonts w:hint="eastAsia" w:eastAsia="宋体"/>
                <w:sz w:val="24"/>
                <w:szCs w:val="24"/>
              </w:rPr>
              <w:t>和外排污染物达标的前提下，从环境保护角度而言项目建设是可行的。</w:t>
            </w:r>
          </w:p>
          <w:p>
            <w:pPr>
              <w:snapToGrid w:val="0"/>
              <w:spacing w:line="360" w:lineRule="auto"/>
              <w:ind w:firstLine="480" w:firstLineChars="200"/>
              <w:rPr>
                <w:rFonts w:eastAsia="宋体"/>
                <w:sz w:val="24"/>
                <w:szCs w:val="24"/>
              </w:rPr>
            </w:pPr>
            <w:r>
              <w:rPr>
                <w:rFonts w:hint="eastAsia" w:eastAsia="宋体"/>
                <w:sz w:val="24"/>
                <w:szCs w:val="24"/>
              </w:rPr>
              <w:t>6、建议</w:t>
            </w:r>
          </w:p>
          <w:p>
            <w:pPr>
              <w:snapToGrid w:val="0"/>
              <w:spacing w:line="360" w:lineRule="auto"/>
              <w:ind w:firstLine="480" w:firstLineChars="200"/>
              <w:rPr>
                <w:rFonts w:eastAsia="宋体"/>
                <w:sz w:val="24"/>
                <w:szCs w:val="24"/>
              </w:rPr>
            </w:pPr>
            <w:r>
              <w:rPr>
                <w:rFonts w:hint="eastAsia" w:eastAsia="宋体"/>
                <w:sz w:val="24"/>
                <w:szCs w:val="24"/>
              </w:rPr>
              <w:t>（1）建设好防治污染设施，污染物排放必须达到国家规定的标准，确保所排放的各项污染物满足相应的排放标准和总量控制要求。</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2</w:t>
            </w:r>
            <w:r>
              <w:rPr>
                <w:rFonts w:hint="eastAsia" w:eastAsia="宋体"/>
                <w:sz w:val="24"/>
                <w:szCs w:val="24"/>
              </w:rPr>
              <w:t>）加强环保设施的维护和管理，保证设备长期、稳定、有效地运行。</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3</w:t>
            </w:r>
            <w:r>
              <w:rPr>
                <w:rFonts w:hint="eastAsia" w:eastAsia="宋体"/>
                <w:sz w:val="24"/>
                <w:szCs w:val="24"/>
              </w:rPr>
              <w:t>）本项目需严格执行本报告提出的污染防治措施，保证污染物的达标排放。</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4</w:t>
            </w:r>
            <w:r>
              <w:rPr>
                <w:rFonts w:hint="eastAsia" w:eastAsia="宋体"/>
                <w:sz w:val="24"/>
                <w:szCs w:val="24"/>
              </w:rPr>
              <w:t>）加强厂区无组织排放废气排放控制管理措施，加强原料、产品的储运管理，减少运输工程中的环境污染，防止事故的发生。</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5</w:t>
            </w:r>
            <w:r>
              <w:rPr>
                <w:rFonts w:hint="eastAsia" w:eastAsia="宋体"/>
                <w:sz w:val="24"/>
                <w:szCs w:val="24"/>
              </w:rPr>
              <w:t>）加强固体废物在厂内堆存期间的环境管理和厂区外的处理处置。</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6</w:t>
            </w:r>
            <w:r>
              <w:rPr>
                <w:rFonts w:hint="eastAsia" w:eastAsia="宋体"/>
                <w:sz w:val="24"/>
                <w:szCs w:val="24"/>
              </w:rPr>
              <w:t>）评价结论仅对以上的工程方案、建设规模及项目总体布局负责，若项目的工程方案、建设规模、生产工艺及项目总体布局发生大的变化时，应另行评价。</w:t>
            </w:r>
          </w:p>
          <w:p>
            <w:pPr>
              <w:snapToGrid w:val="0"/>
              <w:spacing w:line="360" w:lineRule="auto"/>
              <w:ind w:firstLine="480" w:firstLineChars="200"/>
              <w:rPr>
                <w:rFonts w:eastAsia="宋体"/>
                <w:sz w:val="24"/>
                <w:szCs w:val="24"/>
              </w:rPr>
            </w:pPr>
            <w:r>
              <w:rPr>
                <w:rFonts w:hint="eastAsia" w:eastAsia="宋体"/>
                <w:sz w:val="24"/>
                <w:szCs w:val="24"/>
              </w:rPr>
              <w:t>（</w:t>
            </w:r>
            <w:r>
              <w:rPr>
                <w:rFonts w:eastAsia="宋体"/>
                <w:sz w:val="24"/>
                <w:szCs w:val="24"/>
              </w:rPr>
              <w:t>7</w:t>
            </w:r>
            <w:r>
              <w:rPr>
                <w:rFonts w:hint="eastAsia" w:eastAsia="宋体"/>
                <w:sz w:val="24"/>
                <w:szCs w:val="24"/>
              </w:rPr>
              <w:t>）严格落实本环评中的环境管理与监测计划。</w:t>
            </w:r>
          </w:p>
          <w:p>
            <w:pPr>
              <w:ind w:firstLine="480" w:firstLineChars="200"/>
              <w:rPr>
                <w:rFonts w:ascii="宋体" w:hAnsi="宋体"/>
                <w:color w:val="FF0000"/>
              </w:rPr>
            </w:pPr>
            <w:r>
              <w:rPr>
                <w:rFonts w:hint="eastAsia" w:eastAsia="宋体"/>
                <w:sz w:val="24"/>
                <w:szCs w:val="24"/>
              </w:rPr>
              <w:t>（</w:t>
            </w:r>
            <w:r>
              <w:rPr>
                <w:rFonts w:eastAsia="宋体"/>
                <w:sz w:val="24"/>
                <w:szCs w:val="24"/>
              </w:rPr>
              <w:t>8</w:t>
            </w:r>
            <w:r>
              <w:rPr>
                <w:rFonts w:hint="eastAsia" w:eastAsia="宋体"/>
                <w:sz w:val="24"/>
                <w:szCs w:val="24"/>
              </w:rPr>
              <w:t>）在达到国家规定的相关安全生产要求后，方可投入试生产。</w:t>
            </w:r>
          </w:p>
          <w:p>
            <w:pPr>
              <w:snapToGrid w:val="0"/>
              <w:spacing w:line="360" w:lineRule="auto"/>
              <w:ind w:firstLine="560" w:firstLineChars="200"/>
              <w:rPr>
                <w:rFonts w:ascii="宋体" w:hAnsi="宋体"/>
                <w:color w:val="FF0000"/>
              </w:rPr>
            </w:pPr>
          </w:p>
        </w:tc>
      </w:tr>
    </w:tbl>
    <w:p>
      <w:pPr>
        <w:rPr>
          <w:rFonts w:ascii="宋体" w:hAnsi="宋体" w:eastAsia="宋体"/>
          <w:color w:val="FF0000"/>
          <w:sz w:val="24"/>
          <w:szCs w:val="24"/>
        </w:rPr>
        <w:sectPr>
          <w:pgSz w:w="11906" w:h="16838"/>
          <w:pgMar w:top="1701" w:right="1701" w:bottom="1843" w:left="1701" w:header="851" w:footer="992" w:gutter="0"/>
          <w:cols w:space="720" w:num="1"/>
          <w:docGrid w:type="lines" w:linePitch="480" w:charSpace="0"/>
        </w:sectPr>
      </w:pPr>
    </w:p>
    <w:tbl>
      <w:tblPr>
        <w:tblStyle w:val="26"/>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5" w:hRule="atLeast"/>
        </w:trPr>
        <w:tc>
          <w:tcPr>
            <w:tcW w:w="8640" w:type="dxa"/>
          </w:tcPr>
          <w:p>
            <w:pPr>
              <w:spacing w:before="240" w:beforeLines="50" w:line="480" w:lineRule="exact"/>
              <w:ind w:firstLine="140" w:firstLineChars="50"/>
            </w:pPr>
            <w:r>
              <w:t>预审意见：</w:t>
            </w:r>
          </w:p>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r>
              <w:rPr>
                <w:rFonts w:hint="eastAsia" w:ascii="宋体" w:hAnsi="宋体" w:eastAsia="宋体"/>
                <w:sz w:val="24"/>
                <w:szCs w:val="24"/>
              </w:rPr>
              <w:t xml:space="preserve">                                           公 章：</w:t>
            </w:r>
          </w:p>
          <w:p>
            <w:pPr>
              <w:pStyle w:val="2"/>
              <w:rPr>
                <w:rFonts w:ascii="宋体" w:hAnsi="宋体" w:eastAsia="宋体"/>
                <w:sz w:val="24"/>
                <w:szCs w:val="24"/>
              </w:rPr>
            </w:pPr>
          </w:p>
          <w:p>
            <w:pPr>
              <w:pStyle w:val="2"/>
              <w:rPr>
                <w:rFonts w:ascii="宋体" w:hAnsi="宋体" w:eastAsia="宋体"/>
                <w:sz w:val="24"/>
                <w:szCs w:val="24"/>
              </w:rPr>
            </w:pPr>
            <w:r>
              <w:rPr>
                <w:rFonts w:hint="eastAsia" w:ascii="宋体" w:hAnsi="宋体" w:eastAsia="宋体"/>
                <w:sz w:val="24"/>
                <w:szCs w:val="24"/>
              </w:rPr>
              <w:t xml:space="preserve">                                           经办人：</w:t>
            </w:r>
          </w:p>
          <w:p>
            <w:pPr>
              <w:pStyle w:val="2"/>
              <w:rPr>
                <w:rFonts w:ascii="宋体" w:hAnsi="宋体" w:eastAsia="宋体"/>
                <w:sz w:val="24"/>
                <w:szCs w:val="24"/>
              </w:rPr>
            </w:pPr>
          </w:p>
          <w:p>
            <w:pPr>
              <w:pStyle w:val="2"/>
              <w:rPr>
                <w:rFonts w:ascii="宋体" w:hAnsi="宋体" w:eastAsia="宋体"/>
                <w:sz w:val="24"/>
                <w:szCs w:val="24"/>
              </w:rPr>
            </w:pPr>
            <w:r>
              <w:rPr>
                <w:rFonts w:hint="eastAsia" w:ascii="宋体" w:hAnsi="宋体" w:eastAsia="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7" w:hRule="atLeast"/>
        </w:trPr>
        <w:tc>
          <w:tcPr>
            <w:tcW w:w="8640" w:type="dxa"/>
          </w:tcPr>
          <w:p>
            <w:pPr>
              <w:spacing w:before="240" w:beforeLines="50" w:line="480" w:lineRule="exact"/>
            </w:pPr>
            <w:r>
              <w:t>下一级环境保护行政主管部门审查意见：</w:t>
            </w:r>
          </w:p>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p>
          <w:p>
            <w:pPr>
              <w:pStyle w:val="2"/>
              <w:rPr>
                <w:rFonts w:ascii="宋体" w:hAnsi="宋体" w:eastAsia="宋体"/>
                <w:sz w:val="24"/>
                <w:szCs w:val="24"/>
              </w:rPr>
            </w:pPr>
            <w:r>
              <w:rPr>
                <w:rFonts w:hint="eastAsia" w:ascii="宋体" w:hAnsi="宋体" w:eastAsia="宋体"/>
                <w:sz w:val="24"/>
                <w:szCs w:val="24"/>
              </w:rPr>
              <w:t xml:space="preserve">                                           公 章：</w:t>
            </w:r>
          </w:p>
          <w:p>
            <w:pPr>
              <w:pStyle w:val="2"/>
              <w:rPr>
                <w:rFonts w:ascii="宋体" w:hAnsi="宋体" w:eastAsia="宋体"/>
                <w:sz w:val="24"/>
                <w:szCs w:val="24"/>
              </w:rPr>
            </w:pPr>
          </w:p>
          <w:p>
            <w:pPr>
              <w:pStyle w:val="2"/>
              <w:rPr>
                <w:rFonts w:ascii="宋体" w:hAnsi="宋体" w:eastAsia="宋体"/>
                <w:sz w:val="24"/>
                <w:szCs w:val="24"/>
              </w:rPr>
            </w:pPr>
            <w:r>
              <w:rPr>
                <w:rFonts w:hint="eastAsia" w:ascii="宋体" w:hAnsi="宋体" w:eastAsia="宋体"/>
                <w:sz w:val="24"/>
                <w:szCs w:val="24"/>
              </w:rPr>
              <w:t xml:space="preserve">                                           经办人：</w:t>
            </w:r>
          </w:p>
          <w:p>
            <w:pPr>
              <w:pStyle w:val="2"/>
              <w:rPr>
                <w:rFonts w:ascii="宋体" w:hAnsi="宋体" w:eastAsia="宋体"/>
                <w:sz w:val="24"/>
                <w:szCs w:val="24"/>
              </w:rPr>
            </w:pPr>
          </w:p>
          <w:p>
            <w:pPr>
              <w:pStyle w:val="2"/>
              <w:rPr>
                <w:rFonts w:ascii="宋体" w:hAnsi="宋体" w:eastAsia="宋体"/>
                <w:sz w:val="24"/>
                <w:szCs w:val="24"/>
              </w:rPr>
            </w:pPr>
            <w:r>
              <w:rPr>
                <w:rFonts w:hint="eastAsia" w:ascii="宋体" w:hAnsi="宋体" w:eastAsia="宋体"/>
                <w:sz w:val="24"/>
                <w:szCs w:val="24"/>
              </w:rPr>
              <w:t xml:space="preserve">                                           年   月   日</w:t>
            </w:r>
          </w:p>
        </w:tc>
      </w:tr>
    </w:tbl>
    <w:tbl>
      <w:tblPr>
        <w:tblStyle w:val="25"/>
        <w:tblW w:w="87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2" w:hRule="atLeast"/>
        </w:trPr>
        <w:tc>
          <w:tcPr>
            <w:tcW w:w="8736" w:type="dxa"/>
          </w:tcPr>
          <w:p>
            <w:r>
              <w:rPr>
                <w:rFonts w:hint="eastAsia"/>
              </w:rPr>
              <w:t>审批</w:t>
            </w:r>
            <w:r>
              <w:t>意见：</w:t>
            </w:r>
          </w:p>
          <w:p/>
          <w:p/>
          <w:p/>
          <w:p/>
          <w:p/>
          <w:p/>
          <w:p/>
          <w:p/>
          <w:p/>
          <w:p/>
          <w:p/>
          <w:p/>
          <w:p/>
          <w:p/>
          <w:p/>
          <w:p/>
          <w:p/>
          <w:p>
            <w:pPr>
              <w:ind w:firstLine="5600" w:firstLineChars="2000"/>
            </w:pPr>
            <w:r>
              <w:t>公  章</w:t>
            </w:r>
          </w:p>
          <w:p/>
          <w:p>
            <w:pPr>
              <w:ind w:firstLine="5600" w:firstLineChars="2000"/>
            </w:pPr>
            <w:r>
              <w:t xml:space="preserve">经办人：                                 </w:t>
            </w:r>
          </w:p>
          <w:p/>
          <w:p>
            <w:pPr>
              <w:ind w:firstLine="5040" w:firstLineChars="1800"/>
            </w:pPr>
            <w:r>
              <w:t>年     月     日</w:t>
            </w:r>
          </w:p>
          <w:p>
            <w:pPr>
              <w:jc w:val="center"/>
            </w:pPr>
          </w:p>
          <w:p>
            <w:pPr>
              <w:pStyle w:val="2"/>
            </w:pPr>
          </w:p>
          <w:p>
            <w:pPr>
              <w:pStyle w:val="2"/>
            </w:pPr>
          </w:p>
          <w:p>
            <w:pPr>
              <w:pStyle w:val="2"/>
            </w:pPr>
          </w:p>
          <w:p>
            <w:pPr>
              <w:jc w:val="center"/>
              <w:rPr>
                <w:color w:val="FF0000"/>
              </w:rPr>
            </w:pPr>
          </w:p>
          <w:p>
            <w:pPr>
              <w:jc w:val="center"/>
              <w:rPr>
                <w:color w:val="FF0000"/>
              </w:rPr>
            </w:pPr>
          </w:p>
          <w:p>
            <w:pPr>
              <w:jc w:val="center"/>
              <w:rPr>
                <w:sz w:val="24"/>
                <w:szCs w:val="24"/>
              </w:rPr>
            </w:pPr>
            <w:r>
              <w:rPr>
                <w:sz w:val="24"/>
                <w:szCs w:val="24"/>
              </w:rPr>
              <w:t>注    释</w:t>
            </w:r>
          </w:p>
          <w:p>
            <w:pPr>
              <w:tabs>
                <w:tab w:val="left" w:pos="4425"/>
              </w:tabs>
              <w:spacing w:line="480" w:lineRule="exact"/>
              <w:ind w:firstLine="480" w:firstLineChars="200"/>
              <w:rPr>
                <w:sz w:val="24"/>
                <w:szCs w:val="24"/>
              </w:rPr>
            </w:pPr>
            <w:r>
              <w:rPr>
                <w:sz w:val="24"/>
                <w:szCs w:val="24"/>
              </w:rPr>
              <w:t>一、本报告表附以下附件：</w:t>
            </w:r>
          </w:p>
          <w:p>
            <w:pPr>
              <w:tabs>
                <w:tab w:val="left" w:pos="4425"/>
              </w:tabs>
              <w:spacing w:line="480" w:lineRule="exact"/>
              <w:ind w:firstLine="480" w:firstLineChars="200"/>
              <w:rPr>
                <w:sz w:val="24"/>
                <w:szCs w:val="24"/>
              </w:rPr>
            </w:pPr>
            <w:r>
              <w:rPr>
                <w:rFonts w:hint="eastAsia"/>
                <w:sz w:val="24"/>
                <w:szCs w:val="24"/>
              </w:rPr>
              <w:t>附件1  环评委托书；</w:t>
            </w:r>
          </w:p>
          <w:p>
            <w:pPr>
              <w:tabs>
                <w:tab w:val="left" w:pos="4425"/>
              </w:tabs>
              <w:spacing w:line="480" w:lineRule="exact"/>
              <w:ind w:firstLine="480" w:firstLineChars="200"/>
              <w:rPr>
                <w:sz w:val="24"/>
                <w:szCs w:val="24"/>
              </w:rPr>
            </w:pPr>
            <w:r>
              <w:rPr>
                <w:rFonts w:hint="eastAsia"/>
                <w:sz w:val="24"/>
                <w:szCs w:val="24"/>
              </w:rPr>
              <w:t>附件</w:t>
            </w:r>
            <w:r>
              <w:rPr>
                <w:sz w:val="24"/>
                <w:szCs w:val="24"/>
              </w:rPr>
              <w:t xml:space="preserve">2 </w:t>
            </w:r>
            <w:r>
              <w:rPr>
                <w:rFonts w:hint="eastAsia"/>
                <w:sz w:val="24"/>
                <w:szCs w:val="24"/>
              </w:rPr>
              <w:t xml:space="preserve"> 厂区租赁协议；</w:t>
            </w:r>
          </w:p>
          <w:p>
            <w:pPr>
              <w:tabs>
                <w:tab w:val="left" w:pos="4425"/>
              </w:tabs>
              <w:spacing w:line="480" w:lineRule="exact"/>
              <w:ind w:firstLine="480" w:firstLineChars="200"/>
              <w:rPr>
                <w:sz w:val="24"/>
                <w:szCs w:val="24"/>
              </w:rPr>
            </w:pPr>
            <w:r>
              <w:rPr>
                <w:rFonts w:hint="eastAsia"/>
                <w:sz w:val="24"/>
                <w:szCs w:val="24"/>
              </w:rPr>
              <w:t>附件</w:t>
            </w:r>
            <w:r>
              <w:rPr>
                <w:sz w:val="24"/>
                <w:szCs w:val="24"/>
              </w:rPr>
              <w:t>3</w:t>
            </w:r>
            <w:r>
              <w:rPr>
                <w:rFonts w:hint="eastAsia"/>
                <w:sz w:val="24"/>
                <w:szCs w:val="24"/>
              </w:rPr>
              <w:t xml:space="preserve">  收集监测报告；</w:t>
            </w:r>
          </w:p>
          <w:p>
            <w:pPr>
              <w:tabs>
                <w:tab w:val="left" w:pos="4425"/>
              </w:tabs>
              <w:spacing w:line="480" w:lineRule="exact"/>
              <w:ind w:firstLine="480" w:firstLineChars="200"/>
              <w:rPr>
                <w:sz w:val="24"/>
                <w:szCs w:val="24"/>
              </w:rPr>
            </w:pPr>
            <w:r>
              <w:rPr>
                <w:rFonts w:hint="eastAsia"/>
                <w:sz w:val="24"/>
                <w:szCs w:val="24"/>
              </w:rPr>
              <w:t>附件</w:t>
            </w:r>
            <w:r>
              <w:rPr>
                <w:sz w:val="24"/>
                <w:szCs w:val="24"/>
              </w:rPr>
              <w:t>4</w:t>
            </w:r>
            <w:r>
              <w:rPr>
                <w:rFonts w:hint="eastAsia"/>
                <w:sz w:val="24"/>
                <w:szCs w:val="24"/>
              </w:rPr>
              <w:t xml:space="preserve">  补充监测报告。</w:t>
            </w:r>
          </w:p>
          <w:p>
            <w:pPr>
              <w:pStyle w:val="2"/>
              <w:numPr>
                <w:ilvl w:val="0"/>
                <w:numId w:val="5"/>
              </w:numPr>
              <w:spacing w:line="480" w:lineRule="exact"/>
              <w:ind w:firstLine="480" w:firstLineChars="200"/>
              <w:rPr>
                <w:sz w:val="24"/>
                <w:szCs w:val="24"/>
              </w:rPr>
            </w:pPr>
            <w:r>
              <w:rPr>
                <w:rFonts w:hint="eastAsia"/>
                <w:sz w:val="24"/>
                <w:szCs w:val="24"/>
              </w:rPr>
              <w:t>本报告表附以下附图：</w:t>
            </w:r>
          </w:p>
          <w:p>
            <w:pPr>
              <w:pStyle w:val="2"/>
              <w:spacing w:line="480" w:lineRule="exact"/>
              <w:ind w:left="560" w:leftChars="200"/>
              <w:rPr>
                <w:sz w:val="24"/>
                <w:szCs w:val="24"/>
              </w:rPr>
            </w:pPr>
            <w:r>
              <w:rPr>
                <w:rFonts w:hint="eastAsia"/>
                <w:sz w:val="24"/>
                <w:szCs w:val="24"/>
              </w:rPr>
              <w:t>附图1  建设项目地理位置图；</w:t>
            </w:r>
          </w:p>
          <w:p>
            <w:pPr>
              <w:pStyle w:val="2"/>
              <w:spacing w:line="480" w:lineRule="exact"/>
              <w:ind w:left="560" w:leftChars="200"/>
              <w:rPr>
                <w:sz w:val="24"/>
                <w:szCs w:val="24"/>
              </w:rPr>
            </w:pPr>
            <w:r>
              <w:rPr>
                <w:rFonts w:hint="eastAsia"/>
                <w:sz w:val="24"/>
                <w:szCs w:val="24"/>
              </w:rPr>
              <w:t>附图2  平面布局图；</w:t>
            </w:r>
          </w:p>
          <w:p>
            <w:pPr>
              <w:pStyle w:val="2"/>
              <w:spacing w:line="480" w:lineRule="exact"/>
              <w:ind w:left="560" w:leftChars="200"/>
              <w:rPr>
                <w:sz w:val="24"/>
                <w:szCs w:val="24"/>
              </w:rPr>
            </w:pPr>
            <w:r>
              <w:rPr>
                <w:rFonts w:hint="eastAsia"/>
                <w:sz w:val="24"/>
                <w:szCs w:val="24"/>
              </w:rPr>
              <w:t>附图3  监测点位及保护目标示意图。</w:t>
            </w:r>
          </w:p>
          <w:p>
            <w:pPr>
              <w:pStyle w:val="2"/>
              <w:numPr>
                <w:ilvl w:val="0"/>
                <w:numId w:val="5"/>
              </w:numPr>
              <w:spacing w:line="480" w:lineRule="exact"/>
              <w:ind w:firstLine="480" w:firstLineChars="200"/>
              <w:rPr>
                <w:sz w:val="24"/>
                <w:szCs w:val="24"/>
              </w:rPr>
            </w:pPr>
            <w:r>
              <w:rPr>
                <w:rFonts w:hint="eastAsia"/>
                <w:sz w:val="24"/>
                <w:szCs w:val="24"/>
              </w:rPr>
              <w:t>本报告附以下附表：</w:t>
            </w:r>
          </w:p>
          <w:p>
            <w:pPr>
              <w:pStyle w:val="2"/>
              <w:spacing w:line="480" w:lineRule="exact"/>
              <w:ind w:left="560" w:leftChars="200"/>
              <w:rPr>
                <w:sz w:val="24"/>
                <w:szCs w:val="24"/>
              </w:rPr>
            </w:pPr>
            <w:r>
              <w:rPr>
                <w:rFonts w:hint="eastAsia"/>
                <w:sz w:val="24"/>
                <w:szCs w:val="24"/>
              </w:rPr>
              <w:t>附表1  建设项目审批基础信息表。</w:t>
            </w:r>
          </w:p>
          <w:p>
            <w:pPr>
              <w:tabs>
                <w:tab w:val="left" w:pos="4425"/>
              </w:tabs>
              <w:spacing w:line="480" w:lineRule="exact"/>
              <w:ind w:firstLine="480" w:firstLineChars="200"/>
              <w:rPr>
                <w:sz w:val="24"/>
                <w:szCs w:val="24"/>
              </w:rPr>
            </w:pPr>
            <w:r>
              <w:rPr>
                <w:rFonts w:hint="eastAsia"/>
                <w:sz w:val="24"/>
                <w:szCs w:val="24"/>
              </w:rPr>
              <w:t>四</w:t>
            </w:r>
            <w:r>
              <w:rPr>
                <w:sz w:val="24"/>
                <w:szCs w:val="24"/>
              </w:rPr>
              <w:t>、如果本报告表不能说明项目产生的污染及对环境造成的影响，应进行专项评价。根据建设项目的特点和当地环境特征，应选下列1～2项进行专项评价。</w:t>
            </w:r>
          </w:p>
          <w:p>
            <w:pPr>
              <w:tabs>
                <w:tab w:val="left" w:pos="4425"/>
              </w:tabs>
              <w:spacing w:line="480" w:lineRule="exact"/>
              <w:ind w:firstLine="480" w:firstLineChars="200"/>
              <w:rPr>
                <w:sz w:val="24"/>
                <w:szCs w:val="24"/>
              </w:rPr>
            </w:pPr>
            <w:r>
              <w:rPr>
                <w:sz w:val="24"/>
                <w:szCs w:val="24"/>
              </w:rPr>
              <w:t>1. 大气环境影响专项评价</w:t>
            </w:r>
          </w:p>
          <w:p>
            <w:pPr>
              <w:tabs>
                <w:tab w:val="left" w:pos="4425"/>
              </w:tabs>
              <w:spacing w:line="480" w:lineRule="exact"/>
              <w:ind w:firstLine="480" w:firstLineChars="200"/>
              <w:rPr>
                <w:sz w:val="24"/>
                <w:szCs w:val="24"/>
              </w:rPr>
            </w:pPr>
            <w:r>
              <w:rPr>
                <w:sz w:val="24"/>
                <w:szCs w:val="24"/>
              </w:rPr>
              <w:t>2. 水环境影响专项评价(包括地表水和地下水)</w:t>
            </w:r>
          </w:p>
          <w:p>
            <w:pPr>
              <w:tabs>
                <w:tab w:val="left" w:pos="4425"/>
              </w:tabs>
              <w:spacing w:line="480" w:lineRule="exact"/>
              <w:ind w:firstLine="480" w:firstLineChars="200"/>
              <w:rPr>
                <w:sz w:val="24"/>
                <w:szCs w:val="24"/>
              </w:rPr>
            </w:pPr>
            <w:r>
              <w:rPr>
                <w:sz w:val="24"/>
                <w:szCs w:val="24"/>
              </w:rPr>
              <w:t>3. 生态影响专项评价</w:t>
            </w:r>
          </w:p>
          <w:p>
            <w:pPr>
              <w:tabs>
                <w:tab w:val="left" w:pos="4425"/>
              </w:tabs>
              <w:spacing w:line="480" w:lineRule="exact"/>
              <w:ind w:firstLine="480" w:firstLineChars="200"/>
              <w:rPr>
                <w:sz w:val="24"/>
                <w:szCs w:val="24"/>
              </w:rPr>
            </w:pPr>
            <w:r>
              <w:rPr>
                <w:sz w:val="24"/>
                <w:szCs w:val="24"/>
              </w:rPr>
              <w:t>4. 声影响专项评价</w:t>
            </w:r>
          </w:p>
          <w:p>
            <w:pPr>
              <w:tabs>
                <w:tab w:val="left" w:pos="4425"/>
              </w:tabs>
              <w:spacing w:line="480" w:lineRule="exact"/>
              <w:ind w:firstLine="480" w:firstLineChars="200"/>
              <w:rPr>
                <w:sz w:val="24"/>
                <w:szCs w:val="24"/>
              </w:rPr>
            </w:pPr>
            <w:r>
              <w:rPr>
                <w:sz w:val="24"/>
                <w:szCs w:val="24"/>
              </w:rPr>
              <w:t>5. 土壤影响专项评价</w:t>
            </w:r>
          </w:p>
          <w:p>
            <w:pPr>
              <w:tabs>
                <w:tab w:val="left" w:pos="4425"/>
              </w:tabs>
              <w:spacing w:line="480" w:lineRule="exact"/>
              <w:ind w:firstLine="480" w:firstLineChars="200"/>
              <w:rPr>
                <w:sz w:val="24"/>
                <w:szCs w:val="24"/>
              </w:rPr>
            </w:pPr>
            <w:r>
              <w:rPr>
                <w:sz w:val="24"/>
                <w:szCs w:val="24"/>
              </w:rPr>
              <w:t>6. 固体废弃物影响专项评价</w:t>
            </w:r>
          </w:p>
          <w:p>
            <w:pPr>
              <w:tabs>
                <w:tab w:val="left" w:pos="4425"/>
              </w:tabs>
              <w:spacing w:line="480" w:lineRule="exact"/>
              <w:ind w:firstLine="480" w:firstLineChars="200"/>
              <w:rPr>
                <w:rFonts w:ascii="宋体" w:hAnsi="宋体" w:eastAsia="宋体"/>
                <w:color w:val="FF0000"/>
                <w:sz w:val="24"/>
              </w:rPr>
            </w:pPr>
            <w:r>
              <w:rPr>
                <w:sz w:val="24"/>
                <w:szCs w:val="24"/>
              </w:rPr>
              <w:t>以上专项评价未包括的可另列专项,专项评价按照《环境影响评价技术导则》中的要求进行。</w:t>
            </w:r>
          </w:p>
        </w:tc>
      </w:tr>
    </w:tbl>
    <w:p>
      <w:pPr>
        <w:pStyle w:val="2"/>
        <w:spacing w:line="20" w:lineRule="exact"/>
        <w:jc w:val="both"/>
        <w:rPr>
          <w:rFonts w:ascii="宋体" w:hAnsi="宋体" w:eastAsia="宋体"/>
          <w:color w:val="FF0000"/>
          <w:sz w:val="24"/>
          <w:szCs w:val="24"/>
        </w:rPr>
      </w:pPr>
    </w:p>
    <w:sectPr>
      <w:footerReference r:id="rId6" w:type="default"/>
      <w:pgSz w:w="11906" w:h="16838"/>
      <w:pgMar w:top="1701" w:right="1701" w:bottom="1701" w:left="1701" w:header="851" w:footer="992" w:gutter="0"/>
      <w:cols w:space="720" w:num="1"/>
      <w:docGrid w:type="lines" w:linePitch="4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altName w:val="宋体"/>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体（打印机字体）">
    <w:altName w:val="宋体"/>
    <w:panose1 w:val="00000000000000000000"/>
    <w:charset w:val="86"/>
    <w:family w:val="roma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00006FF" w:usb1="4000205B" w:usb2="00000010" w:usb3="00000000" w:csb0="2000019F" w:csb1="00000000"/>
  </w:font>
  <w:font w:name="”“Times New Roman”“">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大标宋简体">
    <w:altName w:val="宋体"/>
    <w:panose1 w:val="00000000000000000000"/>
    <w:charset w:val="86"/>
    <w:family w:val="auto"/>
    <w:pitch w:val="default"/>
    <w:sig w:usb0="00000000" w:usb1="00000000" w:usb2="00000010" w:usb3="00000000" w:csb0="00040000" w:csb1="00000000"/>
  </w:font>
  <w:font w:name="TTD4o00">
    <w:altName w:val="Times New Roman"/>
    <w:panose1 w:val="00000000000000000000"/>
    <w:charset w:val="00"/>
    <w:family w:val="auto"/>
    <w:pitch w:val="default"/>
    <w:sig w:usb0="00000000" w:usb1="00000000" w:usb2="00000000" w:usb3="00000000" w:csb0="00000000" w:csb1="00000000"/>
  </w:font>
  <w:font w:name="TTD4o01">
    <w:altName w:val="Times New Roman"/>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Meiryo">
    <w:altName w:val="Yu Gothic UI"/>
    <w:panose1 w:val="020B0604030504040204"/>
    <w:charset w:val="80"/>
    <w:family w:val="swiss"/>
    <w:pitch w:val="default"/>
    <w:sig w:usb0="00000000" w:usb1="00000000" w:usb2="00010012" w:usb3="00000000" w:csb0="000200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29"/>
      </w:rPr>
    </w:pPr>
    <w:r>
      <w:fldChar w:fldCharType="begin"/>
    </w:r>
    <w:r>
      <w:rPr>
        <w:rStyle w:val="29"/>
      </w:rPr>
      <w:instrText xml:space="preserve">PAGE  </w:instrTex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2696"/>
        <w:tab w:val="clear" w:pos="4153"/>
      </w:tabs>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Style w:val="29"/>
                            </w:rPr>
                          </w:pPr>
                          <w:r>
                            <w:fldChar w:fldCharType="begin"/>
                          </w:r>
                          <w:r>
                            <w:rPr>
                              <w:rStyle w:val="29"/>
                            </w:rPr>
                            <w:instrText xml:space="preserve">PAGE  </w:instrText>
                          </w:r>
                          <w:r>
                            <w:fldChar w:fldCharType="separate"/>
                          </w:r>
                          <w:r>
                            <w:rPr>
                              <w:rStyle w:val="29"/>
                            </w:rPr>
                            <w:t>2</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FpTTBO5AQAAVwMAAA4AAAAAAAAAAQAgAAAAHgEAAGRycy9lMm9Eb2MueG1sUEsFBgAAAAAGAAYA&#10;WQEAAEkFAAAAAA==&#10;">
              <v:fill on="f" focussize="0,0"/>
              <v:stroke on="f"/>
              <v:imagedata o:title=""/>
              <o:lock v:ext="edit" aspectratio="f"/>
              <v:textbox inset="0mm,0mm,0mm,0mm" style="mso-fit-shape-to-text:t;">
                <w:txbxContent>
                  <w:p>
                    <w:pPr>
                      <w:pStyle w:val="2"/>
                      <w:rPr>
                        <w:rStyle w:val="29"/>
                      </w:rPr>
                    </w:pPr>
                    <w:r>
                      <w:fldChar w:fldCharType="begin"/>
                    </w:r>
                    <w:r>
                      <w:rPr>
                        <w:rStyle w:val="29"/>
                      </w:rPr>
                      <w:instrText xml:space="preserve">PAGE  </w:instrText>
                    </w:r>
                    <w:r>
                      <w:fldChar w:fldCharType="separate"/>
                    </w:r>
                    <w:r>
                      <w:rPr>
                        <w:rStyle w:val="29"/>
                      </w:rPr>
                      <w:t>2</w:t>
                    </w:r>
                    <w:r>
                      <w:fldChar w:fldCharType="end"/>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10BF07"/>
    <w:multiLevelType w:val="singleLevel"/>
    <w:tmpl w:val="8510BF07"/>
    <w:lvl w:ilvl="0" w:tentative="0">
      <w:start w:val="1"/>
      <w:numFmt w:val="decimal"/>
      <w:suff w:val="nothing"/>
      <w:lvlText w:val="（%1）"/>
      <w:lvlJc w:val="left"/>
    </w:lvl>
  </w:abstractNum>
  <w:abstractNum w:abstractNumId="1">
    <w:nsid w:val="0D772D52"/>
    <w:multiLevelType w:val="multilevel"/>
    <w:tmpl w:val="0D772D52"/>
    <w:lvl w:ilvl="0" w:tentative="0">
      <w:start w:val="1"/>
      <w:numFmt w:val="koreanDigital2"/>
      <w:pStyle w:val="74"/>
      <w:lvlText w:val="%1、"/>
      <w:lvlJc w:val="left"/>
      <w:pPr>
        <w:tabs>
          <w:tab w:val="left" w:pos="51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BA80860"/>
    <w:multiLevelType w:val="multilevel"/>
    <w:tmpl w:val="2BA80860"/>
    <w:lvl w:ilvl="0" w:tentative="0">
      <w:start w:val="1"/>
      <w:numFmt w:val="decimal"/>
      <w:lvlText w:val="%1."/>
      <w:lvlJc w:val="left"/>
      <w:pPr>
        <w:ind w:left="842" w:hanging="36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
    <w:nsid w:val="599D29EF"/>
    <w:multiLevelType w:val="singleLevel"/>
    <w:tmpl w:val="599D29EF"/>
    <w:lvl w:ilvl="0" w:tentative="0">
      <w:start w:val="2"/>
      <w:numFmt w:val="chineseCounting"/>
      <w:suff w:val="nothing"/>
      <w:lvlText w:val="%1、"/>
      <w:lvlJc w:val="left"/>
    </w:lvl>
  </w:abstractNum>
  <w:abstractNum w:abstractNumId="4">
    <w:nsid w:val="599D2B8F"/>
    <w:multiLevelType w:val="singleLevel"/>
    <w:tmpl w:val="599D2B8F"/>
    <w:lvl w:ilvl="0" w:tentative="0">
      <w:start w:val="2"/>
      <w:numFmt w:val="decimal"/>
      <w:suff w:val="nothing"/>
      <w:lvlText w:val="%1."/>
      <w:lvlJc w:val="left"/>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NotTrackMoves/>
  <w:documentProtection w:enforcement="0"/>
  <w:defaultTabStop w:val="420"/>
  <w:drawingGridVerticalSpacing w:val="240"/>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BF"/>
    <w:rsid w:val="00000AD4"/>
    <w:rsid w:val="00001FB8"/>
    <w:rsid w:val="0000271B"/>
    <w:rsid w:val="00002F1C"/>
    <w:rsid w:val="00003026"/>
    <w:rsid w:val="0000310E"/>
    <w:rsid w:val="00003396"/>
    <w:rsid w:val="00003DBE"/>
    <w:rsid w:val="000044A2"/>
    <w:rsid w:val="000044A8"/>
    <w:rsid w:val="00005BDC"/>
    <w:rsid w:val="00005E95"/>
    <w:rsid w:val="0000617E"/>
    <w:rsid w:val="0000682E"/>
    <w:rsid w:val="00006DD5"/>
    <w:rsid w:val="000070EB"/>
    <w:rsid w:val="0000719A"/>
    <w:rsid w:val="0000720E"/>
    <w:rsid w:val="000107AC"/>
    <w:rsid w:val="00010E93"/>
    <w:rsid w:val="000113E5"/>
    <w:rsid w:val="00011DF7"/>
    <w:rsid w:val="000122FF"/>
    <w:rsid w:val="00012424"/>
    <w:rsid w:val="00012E50"/>
    <w:rsid w:val="0001385D"/>
    <w:rsid w:val="00013D97"/>
    <w:rsid w:val="000140B2"/>
    <w:rsid w:val="000155B5"/>
    <w:rsid w:val="000156D0"/>
    <w:rsid w:val="000169B4"/>
    <w:rsid w:val="0001721C"/>
    <w:rsid w:val="00017749"/>
    <w:rsid w:val="00017C4A"/>
    <w:rsid w:val="00017E4B"/>
    <w:rsid w:val="0002054A"/>
    <w:rsid w:val="000205DF"/>
    <w:rsid w:val="00020610"/>
    <w:rsid w:val="0002089C"/>
    <w:rsid w:val="00020DF1"/>
    <w:rsid w:val="00020E33"/>
    <w:rsid w:val="00021BB6"/>
    <w:rsid w:val="00021DFA"/>
    <w:rsid w:val="00021F42"/>
    <w:rsid w:val="00022FD4"/>
    <w:rsid w:val="000230EB"/>
    <w:rsid w:val="000239E2"/>
    <w:rsid w:val="00024007"/>
    <w:rsid w:val="000241C3"/>
    <w:rsid w:val="000242E9"/>
    <w:rsid w:val="000243D5"/>
    <w:rsid w:val="0002442E"/>
    <w:rsid w:val="00024662"/>
    <w:rsid w:val="000247F7"/>
    <w:rsid w:val="00024C64"/>
    <w:rsid w:val="00024D6F"/>
    <w:rsid w:val="00024DCC"/>
    <w:rsid w:val="000259D9"/>
    <w:rsid w:val="00025AB7"/>
    <w:rsid w:val="00025EAD"/>
    <w:rsid w:val="00026BE0"/>
    <w:rsid w:val="000273CE"/>
    <w:rsid w:val="00031D48"/>
    <w:rsid w:val="00032509"/>
    <w:rsid w:val="000329B8"/>
    <w:rsid w:val="00032E81"/>
    <w:rsid w:val="00033770"/>
    <w:rsid w:val="00033DB8"/>
    <w:rsid w:val="000340CF"/>
    <w:rsid w:val="00034B96"/>
    <w:rsid w:val="00035491"/>
    <w:rsid w:val="00035762"/>
    <w:rsid w:val="000362F4"/>
    <w:rsid w:val="000363C4"/>
    <w:rsid w:val="00036638"/>
    <w:rsid w:val="00036AAA"/>
    <w:rsid w:val="0003709D"/>
    <w:rsid w:val="00037505"/>
    <w:rsid w:val="0004056C"/>
    <w:rsid w:val="000405AB"/>
    <w:rsid w:val="00040A80"/>
    <w:rsid w:val="00040AB8"/>
    <w:rsid w:val="00041085"/>
    <w:rsid w:val="00041287"/>
    <w:rsid w:val="00041E09"/>
    <w:rsid w:val="0004233B"/>
    <w:rsid w:val="00042831"/>
    <w:rsid w:val="00042C5C"/>
    <w:rsid w:val="00042D35"/>
    <w:rsid w:val="00043607"/>
    <w:rsid w:val="00043A18"/>
    <w:rsid w:val="00043DBA"/>
    <w:rsid w:val="0004417D"/>
    <w:rsid w:val="00044889"/>
    <w:rsid w:val="00045338"/>
    <w:rsid w:val="000458FF"/>
    <w:rsid w:val="0004597C"/>
    <w:rsid w:val="000459C6"/>
    <w:rsid w:val="00045C3C"/>
    <w:rsid w:val="00045D32"/>
    <w:rsid w:val="00047095"/>
    <w:rsid w:val="000471D9"/>
    <w:rsid w:val="0005056E"/>
    <w:rsid w:val="000511EA"/>
    <w:rsid w:val="00051685"/>
    <w:rsid w:val="00051922"/>
    <w:rsid w:val="00052405"/>
    <w:rsid w:val="000525B7"/>
    <w:rsid w:val="0005261B"/>
    <w:rsid w:val="00052B36"/>
    <w:rsid w:val="00052B93"/>
    <w:rsid w:val="0005308B"/>
    <w:rsid w:val="00053A63"/>
    <w:rsid w:val="0005424B"/>
    <w:rsid w:val="00055644"/>
    <w:rsid w:val="000557A6"/>
    <w:rsid w:val="000557C7"/>
    <w:rsid w:val="0005663B"/>
    <w:rsid w:val="0005715E"/>
    <w:rsid w:val="00057538"/>
    <w:rsid w:val="00057776"/>
    <w:rsid w:val="00057D91"/>
    <w:rsid w:val="0006016C"/>
    <w:rsid w:val="00060184"/>
    <w:rsid w:val="00060768"/>
    <w:rsid w:val="00060F77"/>
    <w:rsid w:val="00060F9A"/>
    <w:rsid w:val="00061AC2"/>
    <w:rsid w:val="00062609"/>
    <w:rsid w:val="00062921"/>
    <w:rsid w:val="00062E08"/>
    <w:rsid w:val="00063895"/>
    <w:rsid w:val="00063AB7"/>
    <w:rsid w:val="00063ADC"/>
    <w:rsid w:val="00063E5D"/>
    <w:rsid w:val="000648FC"/>
    <w:rsid w:val="0006496D"/>
    <w:rsid w:val="000657F9"/>
    <w:rsid w:val="0006766C"/>
    <w:rsid w:val="00067CE3"/>
    <w:rsid w:val="00070447"/>
    <w:rsid w:val="00070915"/>
    <w:rsid w:val="00070990"/>
    <w:rsid w:val="000712B9"/>
    <w:rsid w:val="0007150D"/>
    <w:rsid w:val="000715A9"/>
    <w:rsid w:val="0007169B"/>
    <w:rsid w:val="0007175E"/>
    <w:rsid w:val="00071F7C"/>
    <w:rsid w:val="00073768"/>
    <w:rsid w:val="00073A0B"/>
    <w:rsid w:val="00074096"/>
    <w:rsid w:val="0007454D"/>
    <w:rsid w:val="00074C00"/>
    <w:rsid w:val="00074D4A"/>
    <w:rsid w:val="00074ED5"/>
    <w:rsid w:val="00075048"/>
    <w:rsid w:val="0007508E"/>
    <w:rsid w:val="00075113"/>
    <w:rsid w:val="00075498"/>
    <w:rsid w:val="0007632E"/>
    <w:rsid w:val="00076C7D"/>
    <w:rsid w:val="0007715F"/>
    <w:rsid w:val="000771B3"/>
    <w:rsid w:val="00077B3B"/>
    <w:rsid w:val="000807D3"/>
    <w:rsid w:val="0008193F"/>
    <w:rsid w:val="00081BA2"/>
    <w:rsid w:val="00081BA8"/>
    <w:rsid w:val="00081C8D"/>
    <w:rsid w:val="00081DAE"/>
    <w:rsid w:val="00081ECC"/>
    <w:rsid w:val="000826F2"/>
    <w:rsid w:val="000827A5"/>
    <w:rsid w:val="00082A6A"/>
    <w:rsid w:val="00082A7C"/>
    <w:rsid w:val="0008307D"/>
    <w:rsid w:val="000837A6"/>
    <w:rsid w:val="00083BF5"/>
    <w:rsid w:val="00084698"/>
    <w:rsid w:val="000851D5"/>
    <w:rsid w:val="00085581"/>
    <w:rsid w:val="00085FE6"/>
    <w:rsid w:val="000861DF"/>
    <w:rsid w:val="000863E5"/>
    <w:rsid w:val="000866DD"/>
    <w:rsid w:val="000869FD"/>
    <w:rsid w:val="00086B73"/>
    <w:rsid w:val="00087144"/>
    <w:rsid w:val="000877A7"/>
    <w:rsid w:val="00087989"/>
    <w:rsid w:val="00087C1F"/>
    <w:rsid w:val="00090DCC"/>
    <w:rsid w:val="00090E0A"/>
    <w:rsid w:val="00090E51"/>
    <w:rsid w:val="00091464"/>
    <w:rsid w:val="0009168F"/>
    <w:rsid w:val="0009172A"/>
    <w:rsid w:val="00091765"/>
    <w:rsid w:val="00091D62"/>
    <w:rsid w:val="00092263"/>
    <w:rsid w:val="00092EAC"/>
    <w:rsid w:val="00092F8C"/>
    <w:rsid w:val="0009345F"/>
    <w:rsid w:val="0009364F"/>
    <w:rsid w:val="00093B2F"/>
    <w:rsid w:val="00093DC0"/>
    <w:rsid w:val="000943F6"/>
    <w:rsid w:val="00094861"/>
    <w:rsid w:val="00094C06"/>
    <w:rsid w:val="00094E49"/>
    <w:rsid w:val="000951C0"/>
    <w:rsid w:val="00096192"/>
    <w:rsid w:val="000971F7"/>
    <w:rsid w:val="0009767A"/>
    <w:rsid w:val="00097F66"/>
    <w:rsid w:val="000A05A8"/>
    <w:rsid w:val="000A090F"/>
    <w:rsid w:val="000A1305"/>
    <w:rsid w:val="000A16D7"/>
    <w:rsid w:val="000A1C48"/>
    <w:rsid w:val="000A1E04"/>
    <w:rsid w:val="000A1E9D"/>
    <w:rsid w:val="000A1EA7"/>
    <w:rsid w:val="000A2D26"/>
    <w:rsid w:val="000A37F8"/>
    <w:rsid w:val="000A38C9"/>
    <w:rsid w:val="000A4270"/>
    <w:rsid w:val="000A49D9"/>
    <w:rsid w:val="000A50AD"/>
    <w:rsid w:val="000A52C0"/>
    <w:rsid w:val="000A54C8"/>
    <w:rsid w:val="000A552B"/>
    <w:rsid w:val="000A55B1"/>
    <w:rsid w:val="000A7683"/>
    <w:rsid w:val="000A79DF"/>
    <w:rsid w:val="000A7A45"/>
    <w:rsid w:val="000A7F1C"/>
    <w:rsid w:val="000B0466"/>
    <w:rsid w:val="000B0A19"/>
    <w:rsid w:val="000B0D42"/>
    <w:rsid w:val="000B0DE3"/>
    <w:rsid w:val="000B1762"/>
    <w:rsid w:val="000B1A93"/>
    <w:rsid w:val="000B2173"/>
    <w:rsid w:val="000B21E9"/>
    <w:rsid w:val="000B299F"/>
    <w:rsid w:val="000B2C3C"/>
    <w:rsid w:val="000B2C8A"/>
    <w:rsid w:val="000B3276"/>
    <w:rsid w:val="000B3885"/>
    <w:rsid w:val="000B42F0"/>
    <w:rsid w:val="000B449A"/>
    <w:rsid w:val="000B46A1"/>
    <w:rsid w:val="000B4859"/>
    <w:rsid w:val="000B4866"/>
    <w:rsid w:val="000B4BB4"/>
    <w:rsid w:val="000B5124"/>
    <w:rsid w:val="000B51FC"/>
    <w:rsid w:val="000B52A9"/>
    <w:rsid w:val="000B5DE1"/>
    <w:rsid w:val="000B6A29"/>
    <w:rsid w:val="000B6ACE"/>
    <w:rsid w:val="000B712A"/>
    <w:rsid w:val="000B72EA"/>
    <w:rsid w:val="000C0BDA"/>
    <w:rsid w:val="000C0D9B"/>
    <w:rsid w:val="000C19F0"/>
    <w:rsid w:val="000C2191"/>
    <w:rsid w:val="000C2296"/>
    <w:rsid w:val="000C29C1"/>
    <w:rsid w:val="000C324D"/>
    <w:rsid w:val="000C3BA7"/>
    <w:rsid w:val="000C55FB"/>
    <w:rsid w:val="000C5FC0"/>
    <w:rsid w:val="000C63D2"/>
    <w:rsid w:val="000C6937"/>
    <w:rsid w:val="000C6CF5"/>
    <w:rsid w:val="000C7704"/>
    <w:rsid w:val="000C7FBA"/>
    <w:rsid w:val="000D0670"/>
    <w:rsid w:val="000D2512"/>
    <w:rsid w:val="000D3B52"/>
    <w:rsid w:val="000D4033"/>
    <w:rsid w:val="000D49D8"/>
    <w:rsid w:val="000D529B"/>
    <w:rsid w:val="000D55A3"/>
    <w:rsid w:val="000D5B02"/>
    <w:rsid w:val="000D6768"/>
    <w:rsid w:val="000D6E57"/>
    <w:rsid w:val="000D76E9"/>
    <w:rsid w:val="000D7B80"/>
    <w:rsid w:val="000D7E7B"/>
    <w:rsid w:val="000E0013"/>
    <w:rsid w:val="000E05EB"/>
    <w:rsid w:val="000E09E9"/>
    <w:rsid w:val="000E12F1"/>
    <w:rsid w:val="000E1410"/>
    <w:rsid w:val="000E1493"/>
    <w:rsid w:val="000E1741"/>
    <w:rsid w:val="000E1A61"/>
    <w:rsid w:val="000E1C9A"/>
    <w:rsid w:val="000E2094"/>
    <w:rsid w:val="000E2097"/>
    <w:rsid w:val="000E2663"/>
    <w:rsid w:val="000E3296"/>
    <w:rsid w:val="000E3B6E"/>
    <w:rsid w:val="000E3BA5"/>
    <w:rsid w:val="000E4AA0"/>
    <w:rsid w:val="000E52A2"/>
    <w:rsid w:val="000E5996"/>
    <w:rsid w:val="000E5FFB"/>
    <w:rsid w:val="000E6E54"/>
    <w:rsid w:val="000E7178"/>
    <w:rsid w:val="000E767A"/>
    <w:rsid w:val="000E7ED8"/>
    <w:rsid w:val="000F0612"/>
    <w:rsid w:val="000F0B36"/>
    <w:rsid w:val="000F0E54"/>
    <w:rsid w:val="000F1A62"/>
    <w:rsid w:val="000F2485"/>
    <w:rsid w:val="000F2633"/>
    <w:rsid w:val="000F35AE"/>
    <w:rsid w:val="000F3AEA"/>
    <w:rsid w:val="000F3C99"/>
    <w:rsid w:val="000F4FFB"/>
    <w:rsid w:val="000F5AB2"/>
    <w:rsid w:val="000F5B80"/>
    <w:rsid w:val="000F5B8D"/>
    <w:rsid w:val="000F60BB"/>
    <w:rsid w:val="000F6CD8"/>
    <w:rsid w:val="000F785A"/>
    <w:rsid w:val="001000E9"/>
    <w:rsid w:val="0010126F"/>
    <w:rsid w:val="00102902"/>
    <w:rsid w:val="00102C19"/>
    <w:rsid w:val="00103001"/>
    <w:rsid w:val="00103129"/>
    <w:rsid w:val="00103945"/>
    <w:rsid w:val="00103CD0"/>
    <w:rsid w:val="00103D08"/>
    <w:rsid w:val="00103E3C"/>
    <w:rsid w:val="00103EC2"/>
    <w:rsid w:val="001048A8"/>
    <w:rsid w:val="00104B97"/>
    <w:rsid w:val="00104F8F"/>
    <w:rsid w:val="00104FB4"/>
    <w:rsid w:val="00105716"/>
    <w:rsid w:val="00105A64"/>
    <w:rsid w:val="001061F0"/>
    <w:rsid w:val="0010655B"/>
    <w:rsid w:val="00106C49"/>
    <w:rsid w:val="0010708D"/>
    <w:rsid w:val="0010765A"/>
    <w:rsid w:val="001078BF"/>
    <w:rsid w:val="00107DE8"/>
    <w:rsid w:val="00110055"/>
    <w:rsid w:val="001108F7"/>
    <w:rsid w:val="0011110A"/>
    <w:rsid w:val="00111276"/>
    <w:rsid w:val="00111BBC"/>
    <w:rsid w:val="00112913"/>
    <w:rsid w:val="00112958"/>
    <w:rsid w:val="00112D5A"/>
    <w:rsid w:val="00113456"/>
    <w:rsid w:val="0011436A"/>
    <w:rsid w:val="001143E9"/>
    <w:rsid w:val="00114430"/>
    <w:rsid w:val="00115063"/>
    <w:rsid w:val="001159E3"/>
    <w:rsid w:val="001167AC"/>
    <w:rsid w:val="001170B4"/>
    <w:rsid w:val="00120B3F"/>
    <w:rsid w:val="00120C7B"/>
    <w:rsid w:val="00120CE4"/>
    <w:rsid w:val="00120DA7"/>
    <w:rsid w:val="00120DBD"/>
    <w:rsid w:val="00121927"/>
    <w:rsid w:val="00121D5E"/>
    <w:rsid w:val="0012209B"/>
    <w:rsid w:val="001223C1"/>
    <w:rsid w:val="00122E84"/>
    <w:rsid w:val="00122E9C"/>
    <w:rsid w:val="00123565"/>
    <w:rsid w:val="0012372E"/>
    <w:rsid w:val="001237DD"/>
    <w:rsid w:val="00124FAE"/>
    <w:rsid w:val="001266A4"/>
    <w:rsid w:val="00126979"/>
    <w:rsid w:val="00126A08"/>
    <w:rsid w:val="00126AC5"/>
    <w:rsid w:val="00130D62"/>
    <w:rsid w:val="001310B0"/>
    <w:rsid w:val="00131A62"/>
    <w:rsid w:val="00132055"/>
    <w:rsid w:val="001321DD"/>
    <w:rsid w:val="001326F8"/>
    <w:rsid w:val="001327BD"/>
    <w:rsid w:val="00132864"/>
    <w:rsid w:val="00132ADE"/>
    <w:rsid w:val="00132DA5"/>
    <w:rsid w:val="00133318"/>
    <w:rsid w:val="00134615"/>
    <w:rsid w:val="0013463F"/>
    <w:rsid w:val="00134CEA"/>
    <w:rsid w:val="001350BE"/>
    <w:rsid w:val="001355B2"/>
    <w:rsid w:val="00135E93"/>
    <w:rsid w:val="00135FFE"/>
    <w:rsid w:val="001360C2"/>
    <w:rsid w:val="00136295"/>
    <w:rsid w:val="00137242"/>
    <w:rsid w:val="0013745D"/>
    <w:rsid w:val="0013753F"/>
    <w:rsid w:val="001401D4"/>
    <w:rsid w:val="001402AF"/>
    <w:rsid w:val="001405FD"/>
    <w:rsid w:val="00140B08"/>
    <w:rsid w:val="001410CC"/>
    <w:rsid w:val="00142127"/>
    <w:rsid w:val="001437F3"/>
    <w:rsid w:val="00143EB9"/>
    <w:rsid w:val="00144334"/>
    <w:rsid w:val="0014447C"/>
    <w:rsid w:val="00144561"/>
    <w:rsid w:val="00144C42"/>
    <w:rsid w:val="00144D87"/>
    <w:rsid w:val="00144E16"/>
    <w:rsid w:val="00145259"/>
    <w:rsid w:val="001456A0"/>
    <w:rsid w:val="001463AD"/>
    <w:rsid w:val="001465D2"/>
    <w:rsid w:val="00146C93"/>
    <w:rsid w:val="00147283"/>
    <w:rsid w:val="001472AC"/>
    <w:rsid w:val="00150308"/>
    <w:rsid w:val="00150468"/>
    <w:rsid w:val="001506A8"/>
    <w:rsid w:val="00151019"/>
    <w:rsid w:val="00151571"/>
    <w:rsid w:val="00151CC8"/>
    <w:rsid w:val="00151CED"/>
    <w:rsid w:val="00151D95"/>
    <w:rsid w:val="00151DAC"/>
    <w:rsid w:val="001528C7"/>
    <w:rsid w:val="0015377D"/>
    <w:rsid w:val="0015379E"/>
    <w:rsid w:val="00153C83"/>
    <w:rsid w:val="001545D1"/>
    <w:rsid w:val="001558E1"/>
    <w:rsid w:val="00155CD2"/>
    <w:rsid w:val="001562D9"/>
    <w:rsid w:val="00160038"/>
    <w:rsid w:val="00160B7A"/>
    <w:rsid w:val="00161225"/>
    <w:rsid w:val="00161290"/>
    <w:rsid w:val="00161DDE"/>
    <w:rsid w:val="001629A0"/>
    <w:rsid w:val="0016339A"/>
    <w:rsid w:val="001633C4"/>
    <w:rsid w:val="001635E4"/>
    <w:rsid w:val="00163BEA"/>
    <w:rsid w:val="00163C91"/>
    <w:rsid w:val="00164832"/>
    <w:rsid w:val="00164B62"/>
    <w:rsid w:val="00164ECA"/>
    <w:rsid w:val="00165FC6"/>
    <w:rsid w:val="0016601D"/>
    <w:rsid w:val="001666FC"/>
    <w:rsid w:val="0016713B"/>
    <w:rsid w:val="001671FE"/>
    <w:rsid w:val="001675D0"/>
    <w:rsid w:val="001675F2"/>
    <w:rsid w:val="00167D8C"/>
    <w:rsid w:val="00170978"/>
    <w:rsid w:val="0017129F"/>
    <w:rsid w:val="00171F48"/>
    <w:rsid w:val="001726F5"/>
    <w:rsid w:val="00173B2B"/>
    <w:rsid w:val="00173F2E"/>
    <w:rsid w:val="001743F1"/>
    <w:rsid w:val="00175103"/>
    <w:rsid w:val="001752ED"/>
    <w:rsid w:val="00175EE6"/>
    <w:rsid w:val="00175F55"/>
    <w:rsid w:val="001760BE"/>
    <w:rsid w:val="0017634B"/>
    <w:rsid w:val="001763CF"/>
    <w:rsid w:val="0017712E"/>
    <w:rsid w:val="0017722E"/>
    <w:rsid w:val="00177638"/>
    <w:rsid w:val="001804F3"/>
    <w:rsid w:val="0018072E"/>
    <w:rsid w:val="00180C30"/>
    <w:rsid w:val="0018103F"/>
    <w:rsid w:val="001810B3"/>
    <w:rsid w:val="00181301"/>
    <w:rsid w:val="00181634"/>
    <w:rsid w:val="00181763"/>
    <w:rsid w:val="001824CB"/>
    <w:rsid w:val="00182670"/>
    <w:rsid w:val="00182AE9"/>
    <w:rsid w:val="001836B7"/>
    <w:rsid w:val="00184220"/>
    <w:rsid w:val="00184DEC"/>
    <w:rsid w:val="00184E42"/>
    <w:rsid w:val="00184F1C"/>
    <w:rsid w:val="001859D2"/>
    <w:rsid w:val="00185BC3"/>
    <w:rsid w:val="00185C97"/>
    <w:rsid w:val="00185F2A"/>
    <w:rsid w:val="00186042"/>
    <w:rsid w:val="00186A7B"/>
    <w:rsid w:val="00187004"/>
    <w:rsid w:val="001876B5"/>
    <w:rsid w:val="00190296"/>
    <w:rsid w:val="00190856"/>
    <w:rsid w:val="001908BF"/>
    <w:rsid w:val="00190D60"/>
    <w:rsid w:val="001915A8"/>
    <w:rsid w:val="001916FC"/>
    <w:rsid w:val="00191E6F"/>
    <w:rsid w:val="001924E7"/>
    <w:rsid w:val="00192BC2"/>
    <w:rsid w:val="0019330A"/>
    <w:rsid w:val="0019331F"/>
    <w:rsid w:val="001935C1"/>
    <w:rsid w:val="00193852"/>
    <w:rsid w:val="00193900"/>
    <w:rsid w:val="00193F38"/>
    <w:rsid w:val="00193FD1"/>
    <w:rsid w:val="0019440D"/>
    <w:rsid w:val="0019444C"/>
    <w:rsid w:val="001946B8"/>
    <w:rsid w:val="00194EF5"/>
    <w:rsid w:val="001954B0"/>
    <w:rsid w:val="001954CF"/>
    <w:rsid w:val="001957B6"/>
    <w:rsid w:val="001962A4"/>
    <w:rsid w:val="00196315"/>
    <w:rsid w:val="0019712C"/>
    <w:rsid w:val="00197E27"/>
    <w:rsid w:val="00197E2A"/>
    <w:rsid w:val="001A01C5"/>
    <w:rsid w:val="001A0253"/>
    <w:rsid w:val="001A15A6"/>
    <w:rsid w:val="001A1D67"/>
    <w:rsid w:val="001A1E7C"/>
    <w:rsid w:val="001A1FEE"/>
    <w:rsid w:val="001A2275"/>
    <w:rsid w:val="001A22E0"/>
    <w:rsid w:val="001A266E"/>
    <w:rsid w:val="001A4722"/>
    <w:rsid w:val="001A5B70"/>
    <w:rsid w:val="001A6C6D"/>
    <w:rsid w:val="001B01E6"/>
    <w:rsid w:val="001B0986"/>
    <w:rsid w:val="001B1C69"/>
    <w:rsid w:val="001B2526"/>
    <w:rsid w:val="001B263E"/>
    <w:rsid w:val="001B398D"/>
    <w:rsid w:val="001B3EA4"/>
    <w:rsid w:val="001B3F1E"/>
    <w:rsid w:val="001B3F56"/>
    <w:rsid w:val="001B47F2"/>
    <w:rsid w:val="001B5A7A"/>
    <w:rsid w:val="001B5EB1"/>
    <w:rsid w:val="001B64BB"/>
    <w:rsid w:val="001B7078"/>
    <w:rsid w:val="001B730C"/>
    <w:rsid w:val="001B75A7"/>
    <w:rsid w:val="001B7DEB"/>
    <w:rsid w:val="001C0354"/>
    <w:rsid w:val="001C0A9D"/>
    <w:rsid w:val="001C0C7E"/>
    <w:rsid w:val="001C0CBA"/>
    <w:rsid w:val="001C0E67"/>
    <w:rsid w:val="001C1116"/>
    <w:rsid w:val="001C127A"/>
    <w:rsid w:val="001C168F"/>
    <w:rsid w:val="001C17D8"/>
    <w:rsid w:val="001C2264"/>
    <w:rsid w:val="001C2740"/>
    <w:rsid w:val="001C2944"/>
    <w:rsid w:val="001C3323"/>
    <w:rsid w:val="001C367A"/>
    <w:rsid w:val="001C3A34"/>
    <w:rsid w:val="001C3F26"/>
    <w:rsid w:val="001C3FAD"/>
    <w:rsid w:val="001C41A4"/>
    <w:rsid w:val="001C4DD5"/>
    <w:rsid w:val="001C4F08"/>
    <w:rsid w:val="001C4FAA"/>
    <w:rsid w:val="001C502D"/>
    <w:rsid w:val="001C5CAA"/>
    <w:rsid w:val="001C5F50"/>
    <w:rsid w:val="001C6107"/>
    <w:rsid w:val="001C69EB"/>
    <w:rsid w:val="001C6A3A"/>
    <w:rsid w:val="001C7384"/>
    <w:rsid w:val="001C7427"/>
    <w:rsid w:val="001C74D7"/>
    <w:rsid w:val="001D0624"/>
    <w:rsid w:val="001D0CCF"/>
    <w:rsid w:val="001D13AC"/>
    <w:rsid w:val="001D1C25"/>
    <w:rsid w:val="001D1E13"/>
    <w:rsid w:val="001D1FE6"/>
    <w:rsid w:val="001D32BB"/>
    <w:rsid w:val="001D3D7A"/>
    <w:rsid w:val="001D473A"/>
    <w:rsid w:val="001D517B"/>
    <w:rsid w:val="001E04FF"/>
    <w:rsid w:val="001E0B48"/>
    <w:rsid w:val="001E1712"/>
    <w:rsid w:val="001E2212"/>
    <w:rsid w:val="001E268F"/>
    <w:rsid w:val="001E2C48"/>
    <w:rsid w:val="001E2C56"/>
    <w:rsid w:val="001E2F85"/>
    <w:rsid w:val="001E3C70"/>
    <w:rsid w:val="001E3F88"/>
    <w:rsid w:val="001E4725"/>
    <w:rsid w:val="001E4F56"/>
    <w:rsid w:val="001E51AC"/>
    <w:rsid w:val="001E664D"/>
    <w:rsid w:val="001E667E"/>
    <w:rsid w:val="001E6703"/>
    <w:rsid w:val="001E689B"/>
    <w:rsid w:val="001E69BD"/>
    <w:rsid w:val="001E6F9B"/>
    <w:rsid w:val="001E7A0E"/>
    <w:rsid w:val="001F0E66"/>
    <w:rsid w:val="001F13BB"/>
    <w:rsid w:val="001F1458"/>
    <w:rsid w:val="001F1CCC"/>
    <w:rsid w:val="001F1D1E"/>
    <w:rsid w:val="001F1D67"/>
    <w:rsid w:val="001F2568"/>
    <w:rsid w:val="001F2819"/>
    <w:rsid w:val="001F3087"/>
    <w:rsid w:val="001F357A"/>
    <w:rsid w:val="001F35EE"/>
    <w:rsid w:val="001F3C22"/>
    <w:rsid w:val="001F3F4A"/>
    <w:rsid w:val="001F4E65"/>
    <w:rsid w:val="001F5895"/>
    <w:rsid w:val="001F6001"/>
    <w:rsid w:val="001F6C41"/>
    <w:rsid w:val="001F721D"/>
    <w:rsid w:val="001F74D1"/>
    <w:rsid w:val="001F774A"/>
    <w:rsid w:val="001F7A30"/>
    <w:rsid w:val="00200611"/>
    <w:rsid w:val="002013D2"/>
    <w:rsid w:val="00201E39"/>
    <w:rsid w:val="00202354"/>
    <w:rsid w:val="002027D9"/>
    <w:rsid w:val="00202A46"/>
    <w:rsid w:val="00204282"/>
    <w:rsid w:val="00204C13"/>
    <w:rsid w:val="002056CA"/>
    <w:rsid w:val="00205EEF"/>
    <w:rsid w:val="0020664B"/>
    <w:rsid w:val="002067B7"/>
    <w:rsid w:val="0020690D"/>
    <w:rsid w:val="002072DB"/>
    <w:rsid w:val="002074C5"/>
    <w:rsid w:val="00207510"/>
    <w:rsid w:val="002100FD"/>
    <w:rsid w:val="002108FE"/>
    <w:rsid w:val="002111B8"/>
    <w:rsid w:val="00211881"/>
    <w:rsid w:val="00213898"/>
    <w:rsid w:val="00213BB6"/>
    <w:rsid w:val="00214730"/>
    <w:rsid w:val="00214C82"/>
    <w:rsid w:val="00215143"/>
    <w:rsid w:val="002154C7"/>
    <w:rsid w:val="00215817"/>
    <w:rsid w:val="00215ABF"/>
    <w:rsid w:val="00216228"/>
    <w:rsid w:val="00217202"/>
    <w:rsid w:val="00220669"/>
    <w:rsid w:val="0022077E"/>
    <w:rsid w:val="0022135B"/>
    <w:rsid w:val="00221379"/>
    <w:rsid w:val="00221677"/>
    <w:rsid w:val="00221C47"/>
    <w:rsid w:val="002220C9"/>
    <w:rsid w:val="002221B1"/>
    <w:rsid w:val="00222DBD"/>
    <w:rsid w:val="00222ED7"/>
    <w:rsid w:val="00223085"/>
    <w:rsid w:val="0022327C"/>
    <w:rsid w:val="0022368F"/>
    <w:rsid w:val="002238D8"/>
    <w:rsid w:val="00223AB7"/>
    <w:rsid w:val="00223D6D"/>
    <w:rsid w:val="00223DD1"/>
    <w:rsid w:val="00223EC6"/>
    <w:rsid w:val="00224300"/>
    <w:rsid w:val="00224573"/>
    <w:rsid w:val="00224826"/>
    <w:rsid w:val="002264EC"/>
    <w:rsid w:val="0022673F"/>
    <w:rsid w:val="002279DE"/>
    <w:rsid w:val="002279E1"/>
    <w:rsid w:val="00227C9F"/>
    <w:rsid w:val="00230357"/>
    <w:rsid w:val="002306EF"/>
    <w:rsid w:val="00230747"/>
    <w:rsid w:val="00230A12"/>
    <w:rsid w:val="00230E8E"/>
    <w:rsid w:val="00231897"/>
    <w:rsid w:val="00232AB3"/>
    <w:rsid w:val="00232E72"/>
    <w:rsid w:val="002334E3"/>
    <w:rsid w:val="002342E1"/>
    <w:rsid w:val="002344B4"/>
    <w:rsid w:val="00234D5D"/>
    <w:rsid w:val="00235A2E"/>
    <w:rsid w:val="00235A3D"/>
    <w:rsid w:val="002366BC"/>
    <w:rsid w:val="00236B57"/>
    <w:rsid w:val="00236D6A"/>
    <w:rsid w:val="002370A2"/>
    <w:rsid w:val="00237BCD"/>
    <w:rsid w:val="0024014B"/>
    <w:rsid w:val="00240445"/>
    <w:rsid w:val="00240B65"/>
    <w:rsid w:val="00241A08"/>
    <w:rsid w:val="002423AF"/>
    <w:rsid w:val="00242F98"/>
    <w:rsid w:val="002434C5"/>
    <w:rsid w:val="0024453C"/>
    <w:rsid w:val="00244C30"/>
    <w:rsid w:val="00246523"/>
    <w:rsid w:val="002468AB"/>
    <w:rsid w:val="00246D13"/>
    <w:rsid w:val="00247367"/>
    <w:rsid w:val="00250BC9"/>
    <w:rsid w:val="00250D95"/>
    <w:rsid w:val="00251E10"/>
    <w:rsid w:val="00251EAD"/>
    <w:rsid w:val="00252133"/>
    <w:rsid w:val="00252CD3"/>
    <w:rsid w:val="002534B3"/>
    <w:rsid w:val="00253816"/>
    <w:rsid w:val="00253BA1"/>
    <w:rsid w:val="00253BBB"/>
    <w:rsid w:val="00254866"/>
    <w:rsid w:val="00254BED"/>
    <w:rsid w:val="00254EEB"/>
    <w:rsid w:val="00254F26"/>
    <w:rsid w:val="0025520A"/>
    <w:rsid w:val="002557FA"/>
    <w:rsid w:val="00255C28"/>
    <w:rsid w:val="0025608C"/>
    <w:rsid w:val="002566C2"/>
    <w:rsid w:val="00257339"/>
    <w:rsid w:val="00260F88"/>
    <w:rsid w:val="00260F8F"/>
    <w:rsid w:val="0026142A"/>
    <w:rsid w:val="00261D83"/>
    <w:rsid w:val="0026230B"/>
    <w:rsid w:val="00262A06"/>
    <w:rsid w:val="00262B40"/>
    <w:rsid w:val="002637A1"/>
    <w:rsid w:val="002639A8"/>
    <w:rsid w:val="00264422"/>
    <w:rsid w:val="00264B51"/>
    <w:rsid w:val="00264CE8"/>
    <w:rsid w:val="00264FD6"/>
    <w:rsid w:val="002652EE"/>
    <w:rsid w:val="00265624"/>
    <w:rsid w:val="00265BE7"/>
    <w:rsid w:val="00266146"/>
    <w:rsid w:val="00266266"/>
    <w:rsid w:val="0026636E"/>
    <w:rsid w:val="002666A9"/>
    <w:rsid w:val="0026686E"/>
    <w:rsid w:val="00266944"/>
    <w:rsid w:val="002705A7"/>
    <w:rsid w:val="00270AD0"/>
    <w:rsid w:val="00270CEF"/>
    <w:rsid w:val="002727EC"/>
    <w:rsid w:val="00272AFC"/>
    <w:rsid w:val="0027354F"/>
    <w:rsid w:val="002738F6"/>
    <w:rsid w:val="002740A7"/>
    <w:rsid w:val="00275296"/>
    <w:rsid w:val="00275FFD"/>
    <w:rsid w:val="00277800"/>
    <w:rsid w:val="002801F5"/>
    <w:rsid w:val="00280497"/>
    <w:rsid w:val="002804C7"/>
    <w:rsid w:val="002813BC"/>
    <w:rsid w:val="0028164D"/>
    <w:rsid w:val="002819F9"/>
    <w:rsid w:val="0028202C"/>
    <w:rsid w:val="00282172"/>
    <w:rsid w:val="002826FA"/>
    <w:rsid w:val="00283295"/>
    <w:rsid w:val="0028339B"/>
    <w:rsid w:val="00283525"/>
    <w:rsid w:val="0028381C"/>
    <w:rsid w:val="0028386E"/>
    <w:rsid w:val="0028387D"/>
    <w:rsid w:val="00283BF5"/>
    <w:rsid w:val="00284CCC"/>
    <w:rsid w:val="00284DBF"/>
    <w:rsid w:val="00284DE3"/>
    <w:rsid w:val="00284FA1"/>
    <w:rsid w:val="002859A9"/>
    <w:rsid w:val="0028613B"/>
    <w:rsid w:val="00286436"/>
    <w:rsid w:val="00286538"/>
    <w:rsid w:val="002903C3"/>
    <w:rsid w:val="00290D10"/>
    <w:rsid w:val="002913CA"/>
    <w:rsid w:val="00291D03"/>
    <w:rsid w:val="0029244E"/>
    <w:rsid w:val="00292967"/>
    <w:rsid w:val="00292C1A"/>
    <w:rsid w:val="002931B8"/>
    <w:rsid w:val="0029436D"/>
    <w:rsid w:val="002948FA"/>
    <w:rsid w:val="00294CFA"/>
    <w:rsid w:val="00294D30"/>
    <w:rsid w:val="0029510F"/>
    <w:rsid w:val="00295113"/>
    <w:rsid w:val="00295A0C"/>
    <w:rsid w:val="00295C9E"/>
    <w:rsid w:val="0029624F"/>
    <w:rsid w:val="002963F4"/>
    <w:rsid w:val="00296677"/>
    <w:rsid w:val="002968FB"/>
    <w:rsid w:val="00296DFD"/>
    <w:rsid w:val="002A07E9"/>
    <w:rsid w:val="002A0ADC"/>
    <w:rsid w:val="002A1208"/>
    <w:rsid w:val="002A18FD"/>
    <w:rsid w:val="002A1A7D"/>
    <w:rsid w:val="002A1CBA"/>
    <w:rsid w:val="002A2060"/>
    <w:rsid w:val="002A2B86"/>
    <w:rsid w:val="002A2DD6"/>
    <w:rsid w:val="002A35A3"/>
    <w:rsid w:val="002A3B9F"/>
    <w:rsid w:val="002A400A"/>
    <w:rsid w:val="002A4065"/>
    <w:rsid w:val="002A4097"/>
    <w:rsid w:val="002A41A1"/>
    <w:rsid w:val="002A428A"/>
    <w:rsid w:val="002A42A0"/>
    <w:rsid w:val="002A50F4"/>
    <w:rsid w:val="002A54F5"/>
    <w:rsid w:val="002A60C0"/>
    <w:rsid w:val="002A6B5F"/>
    <w:rsid w:val="002A6E36"/>
    <w:rsid w:val="002B0172"/>
    <w:rsid w:val="002B018F"/>
    <w:rsid w:val="002B0654"/>
    <w:rsid w:val="002B350A"/>
    <w:rsid w:val="002B40C5"/>
    <w:rsid w:val="002B434E"/>
    <w:rsid w:val="002B4A80"/>
    <w:rsid w:val="002B5479"/>
    <w:rsid w:val="002B56E8"/>
    <w:rsid w:val="002B57C1"/>
    <w:rsid w:val="002B59A8"/>
    <w:rsid w:val="002B5C60"/>
    <w:rsid w:val="002B6AD4"/>
    <w:rsid w:val="002B7387"/>
    <w:rsid w:val="002B7B7E"/>
    <w:rsid w:val="002B7D6E"/>
    <w:rsid w:val="002C12A3"/>
    <w:rsid w:val="002C14DB"/>
    <w:rsid w:val="002C1F3D"/>
    <w:rsid w:val="002C2868"/>
    <w:rsid w:val="002C4513"/>
    <w:rsid w:val="002C464F"/>
    <w:rsid w:val="002C4899"/>
    <w:rsid w:val="002C48F3"/>
    <w:rsid w:val="002C6201"/>
    <w:rsid w:val="002C697C"/>
    <w:rsid w:val="002C6B14"/>
    <w:rsid w:val="002C734D"/>
    <w:rsid w:val="002C73EE"/>
    <w:rsid w:val="002C7FBC"/>
    <w:rsid w:val="002D0261"/>
    <w:rsid w:val="002D0BD1"/>
    <w:rsid w:val="002D0EED"/>
    <w:rsid w:val="002D1BA0"/>
    <w:rsid w:val="002D1CAD"/>
    <w:rsid w:val="002D20E5"/>
    <w:rsid w:val="002D3708"/>
    <w:rsid w:val="002D3BD1"/>
    <w:rsid w:val="002D3D09"/>
    <w:rsid w:val="002D41BD"/>
    <w:rsid w:val="002D4380"/>
    <w:rsid w:val="002D4652"/>
    <w:rsid w:val="002D47A6"/>
    <w:rsid w:val="002D4A93"/>
    <w:rsid w:val="002D590B"/>
    <w:rsid w:val="002D5B4A"/>
    <w:rsid w:val="002D5F55"/>
    <w:rsid w:val="002D6018"/>
    <w:rsid w:val="002D6266"/>
    <w:rsid w:val="002D78B1"/>
    <w:rsid w:val="002D7B2E"/>
    <w:rsid w:val="002D7E8C"/>
    <w:rsid w:val="002D7EC2"/>
    <w:rsid w:val="002E0589"/>
    <w:rsid w:val="002E093F"/>
    <w:rsid w:val="002E0C15"/>
    <w:rsid w:val="002E10CF"/>
    <w:rsid w:val="002E1466"/>
    <w:rsid w:val="002E1E4E"/>
    <w:rsid w:val="002E24C1"/>
    <w:rsid w:val="002E27DD"/>
    <w:rsid w:val="002E3CBE"/>
    <w:rsid w:val="002E3D77"/>
    <w:rsid w:val="002E3EF1"/>
    <w:rsid w:val="002E40EA"/>
    <w:rsid w:val="002E457E"/>
    <w:rsid w:val="002E46F7"/>
    <w:rsid w:val="002E4D38"/>
    <w:rsid w:val="002E52F5"/>
    <w:rsid w:val="002E5C17"/>
    <w:rsid w:val="002E6CBB"/>
    <w:rsid w:val="002E71F3"/>
    <w:rsid w:val="002E72D8"/>
    <w:rsid w:val="002E79EA"/>
    <w:rsid w:val="002E7AA9"/>
    <w:rsid w:val="002E7C5B"/>
    <w:rsid w:val="002E7E64"/>
    <w:rsid w:val="002F093D"/>
    <w:rsid w:val="002F1189"/>
    <w:rsid w:val="002F1B92"/>
    <w:rsid w:val="002F285B"/>
    <w:rsid w:val="002F2DFD"/>
    <w:rsid w:val="002F2E1D"/>
    <w:rsid w:val="002F2E8E"/>
    <w:rsid w:val="002F3090"/>
    <w:rsid w:val="002F3C29"/>
    <w:rsid w:val="002F3D88"/>
    <w:rsid w:val="002F45AB"/>
    <w:rsid w:val="002F4D59"/>
    <w:rsid w:val="002F4E25"/>
    <w:rsid w:val="002F5427"/>
    <w:rsid w:val="002F542B"/>
    <w:rsid w:val="002F5485"/>
    <w:rsid w:val="002F6028"/>
    <w:rsid w:val="002F6312"/>
    <w:rsid w:val="002F663B"/>
    <w:rsid w:val="002F7359"/>
    <w:rsid w:val="002F7917"/>
    <w:rsid w:val="002F79AF"/>
    <w:rsid w:val="002F79EF"/>
    <w:rsid w:val="002F7B8A"/>
    <w:rsid w:val="003000D8"/>
    <w:rsid w:val="00300369"/>
    <w:rsid w:val="00300B04"/>
    <w:rsid w:val="00300BD8"/>
    <w:rsid w:val="0030100A"/>
    <w:rsid w:val="00301137"/>
    <w:rsid w:val="00301672"/>
    <w:rsid w:val="0030180C"/>
    <w:rsid w:val="00301E26"/>
    <w:rsid w:val="0030214A"/>
    <w:rsid w:val="003045CC"/>
    <w:rsid w:val="0030469C"/>
    <w:rsid w:val="0030490D"/>
    <w:rsid w:val="00304E72"/>
    <w:rsid w:val="003058CC"/>
    <w:rsid w:val="003064CA"/>
    <w:rsid w:val="00306BFE"/>
    <w:rsid w:val="00307329"/>
    <w:rsid w:val="00307AF2"/>
    <w:rsid w:val="0031019D"/>
    <w:rsid w:val="003126AE"/>
    <w:rsid w:val="003139A0"/>
    <w:rsid w:val="0031497E"/>
    <w:rsid w:val="00315256"/>
    <w:rsid w:val="0031588A"/>
    <w:rsid w:val="00315F3B"/>
    <w:rsid w:val="00316239"/>
    <w:rsid w:val="00316B06"/>
    <w:rsid w:val="00316B37"/>
    <w:rsid w:val="00316BBE"/>
    <w:rsid w:val="00316DA3"/>
    <w:rsid w:val="00317998"/>
    <w:rsid w:val="00317BDB"/>
    <w:rsid w:val="00317E69"/>
    <w:rsid w:val="00320736"/>
    <w:rsid w:val="00320BFB"/>
    <w:rsid w:val="00320EF1"/>
    <w:rsid w:val="00320F87"/>
    <w:rsid w:val="00321E0A"/>
    <w:rsid w:val="003228F1"/>
    <w:rsid w:val="00322C98"/>
    <w:rsid w:val="0032371E"/>
    <w:rsid w:val="003242BE"/>
    <w:rsid w:val="00324EF2"/>
    <w:rsid w:val="00324F3C"/>
    <w:rsid w:val="0032678F"/>
    <w:rsid w:val="00326F37"/>
    <w:rsid w:val="0032725D"/>
    <w:rsid w:val="00327D16"/>
    <w:rsid w:val="003301A2"/>
    <w:rsid w:val="003307B0"/>
    <w:rsid w:val="003308CC"/>
    <w:rsid w:val="0033093F"/>
    <w:rsid w:val="00331952"/>
    <w:rsid w:val="00331BAB"/>
    <w:rsid w:val="00332029"/>
    <w:rsid w:val="003321AC"/>
    <w:rsid w:val="0033314C"/>
    <w:rsid w:val="00333368"/>
    <w:rsid w:val="00333501"/>
    <w:rsid w:val="00333631"/>
    <w:rsid w:val="003339B3"/>
    <w:rsid w:val="00333C5E"/>
    <w:rsid w:val="00333CDD"/>
    <w:rsid w:val="003345CE"/>
    <w:rsid w:val="00334A22"/>
    <w:rsid w:val="0033600F"/>
    <w:rsid w:val="00336041"/>
    <w:rsid w:val="00336154"/>
    <w:rsid w:val="0033757A"/>
    <w:rsid w:val="00337DC0"/>
    <w:rsid w:val="003400CC"/>
    <w:rsid w:val="003403D5"/>
    <w:rsid w:val="00340567"/>
    <w:rsid w:val="00340983"/>
    <w:rsid w:val="00340C0A"/>
    <w:rsid w:val="00341213"/>
    <w:rsid w:val="00341919"/>
    <w:rsid w:val="00343A3D"/>
    <w:rsid w:val="00343A78"/>
    <w:rsid w:val="00343D05"/>
    <w:rsid w:val="0034431C"/>
    <w:rsid w:val="003443E3"/>
    <w:rsid w:val="00344476"/>
    <w:rsid w:val="0034491C"/>
    <w:rsid w:val="00344F94"/>
    <w:rsid w:val="00345241"/>
    <w:rsid w:val="0034544F"/>
    <w:rsid w:val="003456EB"/>
    <w:rsid w:val="00345ABF"/>
    <w:rsid w:val="00345F30"/>
    <w:rsid w:val="0034698C"/>
    <w:rsid w:val="00346D23"/>
    <w:rsid w:val="00346D2C"/>
    <w:rsid w:val="00347261"/>
    <w:rsid w:val="003477C9"/>
    <w:rsid w:val="00347EE8"/>
    <w:rsid w:val="0035068F"/>
    <w:rsid w:val="003506C7"/>
    <w:rsid w:val="00350D1C"/>
    <w:rsid w:val="0035136A"/>
    <w:rsid w:val="003516CB"/>
    <w:rsid w:val="0035206A"/>
    <w:rsid w:val="00352822"/>
    <w:rsid w:val="00352BE2"/>
    <w:rsid w:val="00352CB2"/>
    <w:rsid w:val="00353279"/>
    <w:rsid w:val="003541A0"/>
    <w:rsid w:val="00354730"/>
    <w:rsid w:val="00354791"/>
    <w:rsid w:val="0035484E"/>
    <w:rsid w:val="00354956"/>
    <w:rsid w:val="00354DB9"/>
    <w:rsid w:val="00354F9F"/>
    <w:rsid w:val="00354FE0"/>
    <w:rsid w:val="0035529D"/>
    <w:rsid w:val="003552EB"/>
    <w:rsid w:val="00355F57"/>
    <w:rsid w:val="003560AE"/>
    <w:rsid w:val="0035627C"/>
    <w:rsid w:val="0035638A"/>
    <w:rsid w:val="00356463"/>
    <w:rsid w:val="0035687B"/>
    <w:rsid w:val="00356D94"/>
    <w:rsid w:val="00357122"/>
    <w:rsid w:val="003574E5"/>
    <w:rsid w:val="00357956"/>
    <w:rsid w:val="0036106D"/>
    <w:rsid w:val="0036163D"/>
    <w:rsid w:val="00361C91"/>
    <w:rsid w:val="00362A17"/>
    <w:rsid w:val="00363142"/>
    <w:rsid w:val="00363971"/>
    <w:rsid w:val="00363C96"/>
    <w:rsid w:val="00363D03"/>
    <w:rsid w:val="00364CD7"/>
    <w:rsid w:val="00364D1C"/>
    <w:rsid w:val="00364FE4"/>
    <w:rsid w:val="00365449"/>
    <w:rsid w:val="003654FF"/>
    <w:rsid w:val="003659E7"/>
    <w:rsid w:val="00365ADA"/>
    <w:rsid w:val="00367390"/>
    <w:rsid w:val="003677C6"/>
    <w:rsid w:val="00370391"/>
    <w:rsid w:val="0037043E"/>
    <w:rsid w:val="00370459"/>
    <w:rsid w:val="0037099D"/>
    <w:rsid w:val="00370F60"/>
    <w:rsid w:val="00371621"/>
    <w:rsid w:val="0037199A"/>
    <w:rsid w:val="00371EDD"/>
    <w:rsid w:val="00373057"/>
    <w:rsid w:val="0037335C"/>
    <w:rsid w:val="003733B5"/>
    <w:rsid w:val="00373EC4"/>
    <w:rsid w:val="00374D5F"/>
    <w:rsid w:val="00374E8E"/>
    <w:rsid w:val="00375113"/>
    <w:rsid w:val="00375511"/>
    <w:rsid w:val="00375D08"/>
    <w:rsid w:val="003761EA"/>
    <w:rsid w:val="003768EA"/>
    <w:rsid w:val="00377608"/>
    <w:rsid w:val="00377E85"/>
    <w:rsid w:val="003802E8"/>
    <w:rsid w:val="00380309"/>
    <w:rsid w:val="0038041A"/>
    <w:rsid w:val="0038074B"/>
    <w:rsid w:val="00380ADB"/>
    <w:rsid w:val="003814E5"/>
    <w:rsid w:val="0038183C"/>
    <w:rsid w:val="003819F1"/>
    <w:rsid w:val="00381CAD"/>
    <w:rsid w:val="00381D48"/>
    <w:rsid w:val="003826E0"/>
    <w:rsid w:val="00382F16"/>
    <w:rsid w:val="00382FA1"/>
    <w:rsid w:val="003831A5"/>
    <w:rsid w:val="0038343E"/>
    <w:rsid w:val="00383935"/>
    <w:rsid w:val="0038411E"/>
    <w:rsid w:val="0038419E"/>
    <w:rsid w:val="00384249"/>
    <w:rsid w:val="00384CCB"/>
    <w:rsid w:val="003852CD"/>
    <w:rsid w:val="00385717"/>
    <w:rsid w:val="00385E94"/>
    <w:rsid w:val="003865F2"/>
    <w:rsid w:val="00386D96"/>
    <w:rsid w:val="00387670"/>
    <w:rsid w:val="00387C5F"/>
    <w:rsid w:val="003904E2"/>
    <w:rsid w:val="00390EBE"/>
    <w:rsid w:val="00391E27"/>
    <w:rsid w:val="0039222F"/>
    <w:rsid w:val="00392AFB"/>
    <w:rsid w:val="0039310B"/>
    <w:rsid w:val="003938CA"/>
    <w:rsid w:val="00394FA6"/>
    <w:rsid w:val="00395330"/>
    <w:rsid w:val="003954F6"/>
    <w:rsid w:val="00395569"/>
    <w:rsid w:val="00395B64"/>
    <w:rsid w:val="00395B6E"/>
    <w:rsid w:val="00395F3F"/>
    <w:rsid w:val="00396637"/>
    <w:rsid w:val="00396649"/>
    <w:rsid w:val="0039698E"/>
    <w:rsid w:val="00397035"/>
    <w:rsid w:val="003976C1"/>
    <w:rsid w:val="00397BF6"/>
    <w:rsid w:val="003A01C3"/>
    <w:rsid w:val="003A0EE7"/>
    <w:rsid w:val="003A0FD1"/>
    <w:rsid w:val="003A332F"/>
    <w:rsid w:val="003A3395"/>
    <w:rsid w:val="003A3763"/>
    <w:rsid w:val="003A3BFD"/>
    <w:rsid w:val="003A3EA5"/>
    <w:rsid w:val="003A3F32"/>
    <w:rsid w:val="003A4513"/>
    <w:rsid w:val="003A4662"/>
    <w:rsid w:val="003A51F3"/>
    <w:rsid w:val="003A5964"/>
    <w:rsid w:val="003A6260"/>
    <w:rsid w:val="003A6496"/>
    <w:rsid w:val="003A6EED"/>
    <w:rsid w:val="003A7072"/>
    <w:rsid w:val="003A7DBD"/>
    <w:rsid w:val="003A7E3D"/>
    <w:rsid w:val="003B0198"/>
    <w:rsid w:val="003B061F"/>
    <w:rsid w:val="003B1221"/>
    <w:rsid w:val="003B17E8"/>
    <w:rsid w:val="003B2810"/>
    <w:rsid w:val="003B2D80"/>
    <w:rsid w:val="003B3045"/>
    <w:rsid w:val="003B3177"/>
    <w:rsid w:val="003B3685"/>
    <w:rsid w:val="003B3A25"/>
    <w:rsid w:val="003B45AA"/>
    <w:rsid w:val="003B46E9"/>
    <w:rsid w:val="003B49C0"/>
    <w:rsid w:val="003B4D8C"/>
    <w:rsid w:val="003B55F7"/>
    <w:rsid w:val="003B5F7E"/>
    <w:rsid w:val="003B5FEA"/>
    <w:rsid w:val="003B60E1"/>
    <w:rsid w:val="003B6FAA"/>
    <w:rsid w:val="003B71BB"/>
    <w:rsid w:val="003B736D"/>
    <w:rsid w:val="003B7808"/>
    <w:rsid w:val="003C01DF"/>
    <w:rsid w:val="003C0329"/>
    <w:rsid w:val="003C0B40"/>
    <w:rsid w:val="003C0BEC"/>
    <w:rsid w:val="003C0C79"/>
    <w:rsid w:val="003C1335"/>
    <w:rsid w:val="003C1958"/>
    <w:rsid w:val="003C1B96"/>
    <w:rsid w:val="003C1D2E"/>
    <w:rsid w:val="003C1D61"/>
    <w:rsid w:val="003C1F8A"/>
    <w:rsid w:val="003C1FF5"/>
    <w:rsid w:val="003C26DB"/>
    <w:rsid w:val="003C29A3"/>
    <w:rsid w:val="003C2B91"/>
    <w:rsid w:val="003C2BA3"/>
    <w:rsid w:val="003C3837"/>
    <w:rsid w:val="003C3841"/>
    <w:rsid w:val="003C3B27"/>
    <w:rsid w:val="003C3F5F"/>
    <w:rsid w:val="003C4D03"/>
    <w:rsid w:val="003C63E7"/>
    <w:rsid w:val="003C6963"/>
    <w:rsid w:val="003C6B9D"/>
    <w:rsid w:val="003C7264"/>
    <w:rsid w:val="003C73AF"/>
    <w:rsid w:val="003C7567"/>
    <w:rsid w:val="003C7A19"/>
    <w:rsid w:val="003D0688"/>
    <w:rsid w:val="003D069A"/>
    <w:rsid w:val="003D0A63"/>
    <w:rsid w:val="003D0AFA"/>
    <w:rsid w:val="003D0B25"/>
    <w:rsid w:val="003D1161"/>
    <w:rsid w:val="003D1225"/>
    <w:rsid w:val="003D12B3"/>
    <w:rsid w:val="003D23A2"/>
    <w:rsid w:val="003D25BA"/>
    <w:rsid w:val="003D285B"/>
    <w:rsid w:val="003D2F2A"/>
    <w:rsid w:val="003D30FA"/>
    <w:rsid w:val="003D3154"/>
    <w:rsid w:val="003D3280"/>
    <w:rsid w:val="003D3D43"/>
    <w:rsid w:val="003D40F2"/>
    <w:rsid w:val="003D4527"/>
    <w:rsid w:val="003D4550"/>
    <w:rsid w:val="003D45F7"/>
    <w:rsid w:val="003D4A92"/>
    <w:rsid w:val="003D4E52"/>
    <w:rsid w:val="003D5628"/>
    <w:rsid w:val="003D5C7A"/>
    <w:rsid w:val="003D5D14"/>
    <w:rsid w:val="003D6799"/>
    <w:rsid w:val="003D6C06"/>
    <w:rsid w:val="003D7AA2"/>
    <w:rsid w:val="003E04A1"/>
    <w:rsid w:val="003E1704"/>
    <w:rsid w:val="003E1E34"/>
    <w:rsid w:val="003E30E1"/>
    <w:rsid w:val="003E37CE"/>
    <w:rsid w:val="003E3B00"/>
    <w:rsid w:val="003E3B1C"/>
    <w:rsid w:val="003E3C96"/>
    <w:rsid w:val="003E4181"/>
    <w:rsid w:val="003E4511"/>
    <w:rsid w:val="003E4944"/>
    <w:rsid w:val="003E4CBB"/>
    <w:rsid w:val="003E57EC"/>
    <w:rsid w:val="003E59C1"/>
    <w:rsid w:val="003E5DF9"/>
    <w:rsid w:val="003E5FA3"/>
    <w:rsid w:val="003E6315"/>
    <w:rsid w:val="003E63B6"/>
    <w:rsid w:val="003E6F15"/>
    <w:rsid w:val="003E7847"/>
    <w:rsid w:val="003F008B"/>
    <w:rsid w:val="003F05C6"/>
    <w:rsid w:val="003F0631"/>
    <w:rsid w:val="003F1413"/>
    <w:rsid w:val="003F2875"/>
    <w:rsid w:val="003F2A05"/>
    <w:rsid w:val="003F2AEC"/>
    <w:rsid w:val="003F3B7F"/>
    <w:rsid w:val="003F3D30"/>
    <w:rsid w:val="003F3F35"/>
    <w:rsid w:val="003F41E8"/>
    <w:rsid w:val="003F48E5"/>
    <w:rsid w:val="003F5468"/>
    <w:rsid w:val="003F547E"/>
    <w:rsid w:val="003F561D"/>
    <w:rsid w:val="003F6269"/>
    <w:rsid w:val="003F6717"/>
    <w:rsid w:val="003F69F1"/>
    <w:rsid w:val="003F7100"/>
    <w:rsid w:val="003F743F"/>
    <w:rsid w:val="003F7F55"/>
    <w:rsid w:val="004002E5"/>
    <w:rsid w:val="00400880"/>
    <w:rsid w:val="00400D10"/>
    <w:rsid w:val="004011CE"/>
    <w:rsid w:val="0040128C"/>
    <w:rsid w:val="004012F4"/>
    <w:rsid w:val="004017E9"/>
    <w:rsid w:val="004019EF"/>
    <w:rsid w:val="00401D07"/>
    <w:rsid w:val="00401FCD"/>
    <w:rsid w:val="00403F1B"/>
    <w:rsid w:val="0040499D"/>
    <w:rsid w:val="004053C1"/>
    <w:rsid w:val="004054FD"/>
    <w:rsid w:val="00405612"/>
    <w:rsid w:val="00405A13"/>
    <w:rsid w:val="0040640C"/>
    <w:rsid w:val="004068A4"/>
    <w:rsid w:val="00406A0A"/>
    <w:rsid w:val="00406AB9"/>
    <w:rsid w:val="00406EA7"/>
    <w:rsid w:val="0040761D"/>
    <w:rsid w:val="0040765E"/>
    <w:rsid w:val="004104ED"/>
    <w:rsid w:val="004108AC"/>
    <w:rsid w:val="00410B01"/>
    <w:rsid w:val="004113D8"/>
    <w:rsid w:val="00411814"/>
    <w:rsid w:val="00411CB6"/>
    <w:rsid w:val="00412782"/>
    <w:rsid w:val="00413A7E"/>
    <w:rsid w:val="00413AFC"/>
    <w:rsid w:val="00413F3C"/>
    <w:rsid w:val="004141CC"/>
    <w:rsid w:val="004144E7"/>
    <w:rsid w:val="00414CF8"/>
    <w:rsid w:val="00414E3B"/>
    <w:rsid w:val="00414E89"/>
    <w:rsid w:val="00415868"/>
    <w:rsid w:val="00415965"/>
    <w:rsid w:val="00415D42"/>
    <w:rsid w:val="00416B90"/>
    <w:rsid w:val="00416F59"/>
    <w:rsid w:val="004170DE"/>
    <w:rsid w:val="00417169"/>
    <w:rsid w:val="0041733E"/>
    <w:rsid w:val="00417367"/>
    <w:rsid w:val="004173E5"/>
    <w:rsid w:val="00417D6D"/>
    <w:rsid w:val="00420938"/>
    <w:rsid w:val="00420AEA"/>
    <w:rsid w:val="00420EBE"/>
    <w:rsid w:val="00421575"/>
    <w:rsid w:val="0042365D"/>
    <w:rsid w:val="00424BDF"/>
    <w:rsid w:val="00424C24"/>
    <w:rsid w:val="00425134"/>
    <w:rsid w:val="00426A67"/>
    <w:rsid w:val="00426A78"/>
    <w:rsid w:val="00426ACF"/>
    <w:rsid w:val="0042766B"/>
    <w:rsid w:val="00427F5A"/>
    <w:rsid w:val="00430089"/>
    <w:rsid w:val="00430CC0"/>
    <w:rsid w:val="00430F30"/>
    <w:rsid w:val="004318D9"/>
    <w:rsid w:val="00431DB9"/>
    <w:rsid w:val="00431F76"/>
    <w:rsid w:val="00431FD4"/>
    <w:rsid w:val="00432257"/>
    <w:rsid w:val="00432C09"/>
    <w:rsid w:val="00432C85"/>
    <w:rsid w:val="0043395B"/>
    <w:rsid w:val="00434F31"/>
    <w:rsid w:val="004367E1"/>
    <w:rsid w:val="00437354"/>
    <w:rsid w:val="00437380"/>
    <w:rsid w:val="00437890"/>
    <w:rsid w:val="00440432"/>
    <w:rsid w:val="00440973"/>
    <w:rsid w:val="004411DB"/>
    <w:rsid w:val="004413EB"/>
    <w:rsid w:val="0044162D"/>
    <w:rsid w:val="004419B1"/>
    <w:rsid w:val="00441CE3"/>
    <w:rsid w:val="00441E5E"/>
    <w:rsid w:val="004421D7"/>
    <w:rsid w:val="004421FB"/>
    <w:rsid w:val="00442BDC"/>
    <w:rsid w:val="00442D0A"/>
    <w:rsid w:val="00442D93"/>
    <w:rsid w:val="00443967"/>
    <w:rsid w:val="00443AE6"/>
    <w:rsid w:val="00443F32"/>
    <w:rsid w:val="00444B4D"/>
    <w:rsid w:val="00445596"/>
    <w:rsid w:val="00445625"/>
    <w:rsid w:val="00445AFF"/>
    <w:rsid w:val="00445CFB"/>
    <w:rsid w:val="00445D33"/>
    <w:rsid w:val="00445FFD"/>
    <w:rsid w:val="0044611F"/>
    <w:rsid w:val="004468BA"/>
    <w:rsid w:val="00446B50"/>
    <w:rsid w:val="00446DEB"/>
    <w:rsid w:val="00447FA5"/>
    <w:rsid w:val="00447FD9"/>
    <w:rsid w:val="0045035B"/>
    <w:rsid w:val="00450FAE"/>
    <w:rsid w:val="00451017"/>
    <w:rsid w:val="00451080"/>
    <w:rsid w:val="0045158B"/>
    <w:rsid w:val="00451674"/>
    <w:rsid w:val="004516B2"/>
    <w:rsid w:val="0045217F"/>
    <w:rsid w:val="00452205"/>
    <w:rsid w:val="00452254"/>
    <w:rsid w:val="0045229D"/>
    <w:rsid w:val="00452762"/>
    <w:rsid w:val="00452A37"/>
    <w:rsid w:val="00452B92"/>
    <w:rsid w:val="00452DBB"/>
    <w:rsid w:val="00453337"/>
    <w:rsid w:val="004535A8"/>
    <w:rsid w:val="00454017"/>
    <w:rsid w:val="00454286"/>
    <w:rsid w:val="004542BB"/>
    <w:rsid w:val="0045582C"/>
    <w:rsid w:val="00455AE6"/>
    <w:rsid w:val="00455AE7"/>
    <w:rsid w:val="00455B04"/>
    <w:rsid w:val="00457217"/>
    <w:rsid w:val="00457826"/>
    <w:rsid w:val="00457C87"/>
    <w:rsid w:val="00457FAB"/>
    <w:rsid w:val="00460C8D"/>
    <w:rsid w:val="004610D9"/>
    <w:rsid w:val="004611D4"/>
    <w:rsid w:val="0046136C"/>
    <w:rsid w:val="0046149B"/>
    <w:rsid w:val="00461B44"/>
    <w:rsid w:val="00461C8F"/>
    <w:rsid w:val="00462157"/>
    <w:rsid w:val="00462170"/>
    <w:rsid w:val="004626A8"/>
    <w:rsid w:val="004632A3"/>
    <w:rsid w:val="004637C1"/>
    <w:rsid w:val="00463C70"/>
    <w:rsid w:val="00463DD3"/>
    <w:rsid w:val="0046442E"/>
    <w:rsid w:val="00464724"/>
    <w:rsid w:val="004647E2"/>
    <w:rsid w:val="00464845"/>
    <w:rsid w:val="00464B67"/>
    <w:rsid w:val="00464BE5"/>
    <w:rsid w:val="00464CAE"/>
    <w:rsid w:val="004656FF"/>
    <w:rsid w:val="00465B15"/>
    <w:rsid w:val="00466C60"/>
    <w:rsid w:val="00466F15"/>
    <w:rsid w:val="00467387"/>
    <w:rsid w:val="00467686"/>
    <w:rsid w:val="004676C5"/>
    <w:rsid w:val="0046795C"/>
    <w:rsid w:val="00467DE1"/>
    <w:rsid w:val="004709ED"/>
    <w:rsid w:val="00470E57"/>
    <w:rsid w:val="00470F1F"/>
    <w:rsid w:val="0047162E"/>
    <w:rsid w:val="004720F6"/>
    <w:rsid w:val="00472475"/>
    <w:rsid w:val="0047249C"/>
    <w:rsid w:val="00472985"/>
    <w:rsid w:val="00472D11"/>
    <w:rsid w:val="00473045"/>
    <w:rsid w:val="004735B2"/>
    <w:rsid w:val="004736D5"/>
    <w:rsid w:val="004739FD"/>
    <w:rsid w:val="00473A77"/>
    <w:rsid w:val="0047415F"/>
    <w:rsid w:val="00474305"/>
    <w:rsid w:val="0047495B"/>
    <w:rsid w:val="00474D8F"/>
    <w:rsid w:val="00474EBC"/>
    <w:rsid w:val="0047643F"/>
    <w:rsid w:val="00476AD0"/>
    <w:rsid w:val="00476C4B"/>
    <w:rsid w:val="00476C59"/>
    <w:rsid w:val="0047762A"/>
    <w:rsid w:val="00477A78"/>
    <w:rsid w:val="00477A84"/>
    <w:rsid w:val="0048051E"/>
    <w:rsid w:val="004814F3"/>
    <w:rsid w:val="004814FE"/>
    <w:rsid w:val="004818E7"/>
    <w:rsid w:val="00481BEB"/>
    <w:rsid w:val="00481CAF"/>
    <w:rsid w:val="00481CD2"/>
    <w:rsid w:val="004823FD"/>
    <w:rsid w:val="0048284C"/>
    <w:rsid w:val="00482995"/>
    <w:rsid w:val="00482F99"/>
    <w:rsid w:val="004830D5"/>
    <w:rsid w:val="004830DF"/>
    <w:rsid w:val="0048358A"/>
    <w:rsid w:val="00483670"/>
    <w:rsid w:val="00483980"/>
    <w:rsid w:val="004839C9"/>
    <w:rsid w:val="00483DCF"/>
    <w:rsid w:val="00484168"/>
    <w:rsid w:val="00484594"/>
    <w:rsid w:val="00484687"/>
    <w:rsid w:val="004859D7"/>
    <w:rsid w:val="004860DD"/>
    <w:rsid w:val="00486E6D"/>
    <w:rsid w:val="00486E85"/>
    <w:rsid w:val="004871B2"/>
    <w:rsid w:val="00487699"/>
    <w:rsid w:val="00487856"/>
    <w:rsid w:val="004879CE"/>
    <w:rsid w:val="004879E0"/>
    <w:rsid w:val="00487F3A"/>
    <w:rsid w:val="004900FA"/>
    <w:rsid w:val="00490130"/>
    <w:rsid w:val="0049080A"/>
    <w:rsid w:val="0049090A"/>
    <w:rsid w:val="00491023"/>
    <w:rsid w:val="0049148B"/>
    <w:rsid w:val="00491C6F"/>
    <w:rsid w:val="00491E24"/>
    <w:rsid w:val="00491FCE"/>
    <w:rsid w:val="0049272C"/>
    <w:rsid w:val="00492C58"/>
    <w:rsid w:val="004930DA"/>
    <w:rsid w:val="004931AB"/>
    <w:rsid w:val="0049338D"/>
    <w:rsid w:val="00493E13"/>
    <w:rsid w:val="00494239"/>
    <w:rsid w:val="00494669"/>
    <w:rsid w:val="004964BE"/>
    <w:rsid w:val="00496825"/>
    <w:rsid w:val="004969AC"/>
    <w:rsid w:val="00496D5D"/>
    <w:rsid w:val="00496F6D"/>
    <w:rsid w:val="00497E81"/>
    <w:rsid w:val="004A01CD"/>
    <w:rsid w:val="004A044B"/>
    <w:rsid w:val="004A14B8"/>
    <w:rsid w:val="004A2269"/>
    <w:rsid w:val="004A23F3"/>
    <w:rsid w:val="004A27E6"/>
    <w:rsid w:val="004A3284"/>
    <w:rsid w:val="004A336A"/>
    <w:rsid w:val="004A3B16"/>
    <w:rsid w:val="004A3EE0"/>
    <w:rsid w:val="004A43A0"/>
    <w:rsid w:val="004A4647"/>
    <w:rsid w:val="004A4D15"/>
    <w:rsid w:val="004A4D3C"/>
    <w:rsid w:val="004A5943"/>
    <w:rsid w:val="004A5CFA"/>
    <w:rsid w:val="004A5EF7"/>
    <w:rsid w:val="004A60D2"/>
    <w:rsid w:val="004A64BC"/>
    <w:rsid w:val="004A69ED"/>
    <w:rsid w:val="004A6C43"/>
    <w:rsid w:val="004B05E5"/>
    <w:rsid w:val="004B0627"/>
    <w:rsid w:val="004B068E"/>
    <w:rsid w:val="004B0BB4"/>
    <w:rsid w:val="004B0F61"/>
    <w:rsid w:val="004B1B7C"/>
    <w:rsid w:val="004B255D"/>
    <w:rsid w:val="004B2BBB"/>
    <w:rsid w:val="004B30C7"/>
    <w:rsid w:val="004B327D"/>
    <w:rsid w:val="004B360A"/>
    <w:rsid w:val="004B3AEF"/>
    <w:rsid w:val="004B3C55"/>
    <w:rsid w:val="004B3C6A"/>
    <w:rsid w:val="004B3CC4"/>
    <w:rsid w:val="004B42E7"/>
    <w:rsid w:val="004B57BF"/>
    <w:rsid w:val="004B62AD"/>
    <w:rsid w:val="004B7312"/>
    <w:rsid w:val="004B7FD5"/>
    <w:rsid w:val="004C0423"/>
    <w:rsid w:val="004C0FA5"/>
    <w:rsid w:val="004C1005"/>
    <w:rsid w:val="004C205F"/>
    <w:rsid w:val="004C29E6"/>
    <w:rsid w:val="004C2B99"/>
    <w:rsid w:val="004C3128"/>
    <w:rsid w:val="004C316C"/>
    <w:rsid w:val="004C36EE"/>
    <w:rsid w:val="004C3AF4"/>
    <w:rsid w:val="004C3B64"/>
    <w:rsid w:val="004C3F9A"/>
    <w:rsid w:val="004C5148"/>
    <w:rsid w:val="004C585B"/>
    <w:rsid w:val="004C5AE1"/>
    <w:rsid w:val="004C5DC3"/>
    <w:rsid w:val="004C68E7"/>
    <w:rsid w:val="004D046E"/>
    <w:rsid w:val="004D1409"/>
    <w:rsid w:val="004D1C6C"/>
    <w:rsid w:val="004D2247"/>
    <w:rsid w:val="004D2B81"/>
    <w:rsid w:val="004D314A"/>
    <w:rsid w:val="004D3900"/>
    <w:rsid w:val="004D3A46"/>
    <w:rsid w:val="004D3AAA"/>
    <w:rsid w:val="004D3E1B"/>
    <w:rsid w:val="004D40AA"/>
    <w:rsid w:val="004D4EB6"/>
    <w:rsid w:val="004D513F"/>
    <w:rsid w:val="004D5B4B"/>
    <w:rsid w:val="004D6233"/>
    <w:rsid w:val="004D68AB"/>
    <w:rsid w:val="004D6F83"/>
    <w:rsid w:val="004D72FF"/>
    <w:rsid w:val="004D7737"/>
    <w:rsid w:val="004E071B"/>
    <w:rsid w:val="004E0B5F"/>
    <w:rsid w:val="004E1515"/>
    <w:rsid w:val="004E1B5E"/>
    <w:rsid w:val="004E276A"/>
    <w:rsid w:val="004E2775"/>
    <w:rsid w:val="004E2B20"/>
    <w:rsid w:val="004E38A9"/>
    <w:rsid w:val="004E466C"/>
    <w:rsid w:val="004E4B53"/>
    <w:rsid w:val="004E4D97"/>
    <w:rsid w:val="004E5925"/>
    <w:rsid w:val="004E5A4B"/>
    <w:rsid w:val="004E5DCC"/>
    <w:rsid w:val="004E692A"/>
    <w:rsid w:val="004E6B8A"/>
    <w:rsid w:val="004E6D86"/>
    <w:rsid w:val="004E7A74"/>
    <w:rsid w:val="004F073D"/>
    <w:rsid w:val="004F0DC0"/>
    <w:rsid w:val="004F0F55"/>
    <w:rsid w:val="004F121B"/>
    <w:rsid w:val="004F1946"/>
    <w:rsid w:val="004F1BFE"/>
    <w:rsid w:val="004F1D0C"/>
    <w:rsid w:val="004F21D8"/>
    <w:rsid w:val="004F299C"/>
    <w:rsid w:val="004F2E0F"/>
    <w:rsid w:val="004F318B"/>
    <w:rsid w:val="004F36BF"/>
    <w:rsid w:val="004F3882"/>
    <w:rsid w:val="004F3B7C"/>
    <w:rsid w:val="004F3C8D"/>
    <w:rsid w:val="004F410B"/>
    <w:rsid w:val="004F457C"/>
    <w:rsid w:val="004F4975"/>
    <w:rsid w:val="004F5023"/>
    <w:rsid w:val="004F55AC"/>
    <w:rsid w:val="004F73C7"/>
    <w:rsid w:val="004F760F"/>
    <w:rsid w:val="004F7644"/>
    <w:rsid w:val="004F7FD7"/>
    <w:rsid w:val="005000C4"/>
    <w:rsid w:val="00500E00"/>
    <w:rsid w:val="005029B5"/>
    <w:rsid w:val="005029E5"/>
    <w:rsid w:val="00503378"/>
    <w:rsid w:val="0050352B"/>
    <w:rsid w:val="00503D47"/>
    <w:rsid w:val="00504303"/>
    <w:rsid w:val="005056AF"/>
    <w:rsid w:val="0050641F"/>
    <w:rsid w:val="00506771"/>
    <w:rsid w:val="005068CF"/>
    <w:rsid w:val="00506A2B"/>
    <w:rsid w:val="0050725C"/>
    <w:rsid w:val="005072A1"/>
    <w:rsid w:val="005077E1"/>
    <w:rsid w:val="005078BE"/>
    <w:rsid w:val="005078C8"/>
    <w:rsid w:val="00507E23"/>
    <w:rsid w:val="005103D3"/>
    <w:rsid w:val="00511355"/>
    <w:rsid w:val="005113F3"/>
    <w:rsid w:val="005114BD"/>
    <w:rsid w:val="005119F9"/>
    <w:rsid w:val="00511BBA"/>
    <w:rsid w:val="005121B7"/>
    <w:rsid w:val="00513F8F"/>
    <w:rsid w:val="00514250"/>
    <w:rsid w:val="005144F5"/>
    <w:rsid w:val="00515423"/>
    <w:rsid w:val="00516191"/>
    <w:rsid w:val="005166EF"/>
    <w:rsid w:val="00516943"/>
    <w:rsid w:val="005169E3"/>
    <w:rsid w:val="005169E8"/>
    <w:rsid w:val="00520107"/>
    <w:rsid w:val="005201E2"/>
    <w:rsid w:val="005204E4"/>
    <w:rsid w:val="00520B55"/>
    <w:rsid w:val="00520EB6"/>
    <w:rsid w:val="0052213E"/>
    <w:rsid w:val="00522740"/>
    <w:rsid w:val="005228FD"/>
    <w:rsid w:val="005229AF"/>
    <w:rsid w:val="005229BB"/>
    <w:rsid w:val="00523800"/>
    <w:rsid w:val="00523934"/>
    <w:rsid w:val="00523DB2"/>
    <w:rsid w:val="00523F93"/>
    <w:rsid w:val="0052406A"/>
    <w:rsid w:val="00524C66"/>
    <w:rsid w:val="00524CFD"/>
    <w:rsid w:val="0052551C"/>
    <w:rsid w:val="0052560F"/>
    <w:rsid w:val="00525672"/>
    <w:rsid w:val="00526050"/>
    <w:rsid w:val="0052629D"/>
    <w:rsid w:val="00526E1D"/>
    <w:rsid w:val="0052777A"/>
    <w:rsid w:val="0052792B"/>
    <w:rsid w:val="00527ADF"/>
    <w:rsid w:val="00527AF1"/>
    <w:rsid w:val="00530639"/>
    <w:rsid w:val="00530679"/>
    <w:rsid w:val="0053126B"/>
    <w:rsid w:val="0053140F"/>
    <w:rsid w:val="005314B9"/>
    <w:rsid w:val="005315E8"/>
    <w:rsid w:val="005316A1"/>
    <w:rsid w:val="00531B89"/>
    <w:rsid w:val="00531BF9"/>
    <w:rsid w:val="00531D9A"/>
    <w:rsid w:val="00531E95"/>
    <w:rsid w:val="00532471"/>
    <w:rsid w:val="005324E6"/>
    <w:rsid w:val="00532526"/>
    <w:rsid w:val="00532623"/>
    <w:rsid w:val="0053280B"/>
    <w:rsid w:val="00532B94"/>
    <w:rsid w:val="00532E9E"/>
    <w:rsid w:val="00532F9D"/>
    <w:rsid w:val="0053318C"/>
    <w:rsid w:val="005331F8"/>
    <w:rsid w:val="005333CF"/>
    <w:rsid w:val="0053340F"/>
    <w:rsid w:val="005335EC"/>
    <w:rsid w:val="0053406B"/>
    <w:rsid w:val="00534767"/>
    <w:rsid w:val="005348C3"/>
    <w:rsid w:val="00534C3C"/>
    <w:rsid w:val="00534D01"/>
    <w:rsid w:val="00534DAB"/>
    <w:rsid w:val="0053609D"/>
    <w:rsid w:val="0053633F"/>
    <w:rsid w:val="00536347"/>
    <w:rsid w:val="005363C8"/>
    <w:rsid w:val="00536564"/>
    <w:rsid w:val="00536C5C"/>
    <w:rsid w:val="00536CE6"/>
    <w:rsid w:val="00536D16"/>
    <w:rsid w:val="005379E9"/>
    <w:rsid w:val="00537EF7"/>
    <w:rsid w:val="00540ED6"/>
    <w:rsid w:val="0054117F"/>
    <w:rsid w:val="0054176E"/>
    <w:rsid w:val="005425FD"/>
    <w:rsid w:val="005435D7"/>
    <w:rsid w:val="005435FE"/>
    <w:rsid w:val="00543868"/>
    <w:rsid w:val="00543887"/>
    <w:rsid w:val="00543A0F"/>
    <w:rsid w:val="005441FB"/>
    <w:rsid w:val="005442DE"/>
    <w:rsid w:val="00544637"/>
    <w:rsid w:val="00544903"/>
    <w:rsid w:val="00544D9A"/>
    <w:rsid w:val="00544FA3"/>
    <w:rsid w:val="005451B4"/>
    <w:rsid w:val="005452F3"/>
    <w:rsid w:val="00545330"/>
    <w:rsid w:val="005454EC"/>
    <w:rsid w:val="005464B8"/>
    <w:rsid w:val="00546544"/>
    <w:rsid w:val="00547996"/>
    <w:rsid w:val="00547FD1"/>
    <w:rsid w:val="00550405"/>
    <w:rsid w:val="00550599"/>
    <w:rsid w:val="00550977"/>
    <w:rsid w:val="0055134E"/>
    <w:rsid w:val="00551F4C"/>
    <w:rsid w:val="00552C91"/>
    <w:rsid w:val="0055326D"/>
    <w:rsid w:val="00553F1F"/>
    <w:rsid w:val="0055456D"/>
    <w:rsid w:val="00554EBC"/>
    <w:rsid w:val="0055500E"/>
    <w:rsid w:val="00555523"/>
    <w:rsid w:val="00555678"/>
    <w:rsid w:val="00555D97"/>
    <w:rsid w:val="00555EF5"/>
    <w:rsid w:val="00556B63"/>
    <w:rsid w:val="00556BAC"/>
    <w:rsid w:val="00556E97"/>
    <w:rsid w:val="00561510"/>
    <w:rsid w:val="00561ED0"/>
    <w:rsid w:val="0056229F"/>
    <w:rsid w:val="00562456"/>
    <w:rsid w:val="00562E23"/>
    <w:rsid w:val="0056393B"/>
    <w:rsid w:val="00564382"/>
    <w:rsid w:val="00564423"/>
    <w:rsid w:val="00564ADE"/>
    <w:rsid w:val="00564B04"/>
    <w:rsid w:val="00564FF1"/>
    <w:rsid w:val="005658C4"/>
    <w:rsid w:val="00566C21"/>
    <w:rsid w:val="00566FB4"/>
    <w:rsid w:val="00567D9B"/>
    <w:rsid w:val="00570108"/>
    <w:rsid w:val="005704B4"/>
    <w:rsid w:val="00570B10"/>
    <w:rsid w:val="00570B18"/>
    <w:rsid w:val="00570DDD"/>
    <w:rsid w:val="00570E5A"/>
    <w:rsid w:val="005711FD"/>
    <w:rsid w:val="00571300"/>
    <w:rsid w:val="005716EB"/>
    <w:rsid w:val="005718E4"/>
    <w:rsid w:val="00572304"/>
    <w:rsid w:val="0057276C"/>
    <w:rsid w:val="00572A32"/>
    <w:rsid w:val="00572DA2"/>
    <w:rsid w:val="00573194"/>
    <w:rsid w:val="00573501"/>
    <w:rsid w:val="005741E4"/>
    <w:rsid w:val="0057473D"/>
    <w:rsid w:val="00574A9E"/>
    <w:rsid w:val="00575075"/>
    <w:rsid w:val="00575174"/>
    <w:rsid w:val="00575689"/>
    <w:rsid w:val="00576C1C"/>
    <w:rsid w:val="0057767A"/>
    <w:rsid w:val="00577BEE"/>
    <w:rsid w:val="005804C3"/>
    <w:rsid w:val="00580BBC"/>
    <w:rsid w:val="00581325"/>
    <w:rsid w:val="0058159F"/>
    <w:rsid w:val="00581E71"/>
    <w:rsid w:val="00582A64"/>
    <w:rsid w:val="00583C8F"/>
    <w:rsid w:val="00583E5A"/>
    <w:rsid w:val="00583FA6"/>
    <w:rsid w:val="00584134"/>
    <w:rsid w:val="005841FA"/>
    <w:rsid w:val="00584992"/>
    <w:rsid w:val="00584AED"/>
    <w:rsid w:val="0058553A"/>
    <w:rsid w:val="0058595C"/>
    <w:rsid w:val="005860CC"/>
    <w:rsid w:val="00586268"/>
    <w:rsid w:val="00587199"/>
    <w:rsid w:val="00587A79"/>
    <w:rsid w:val="00587B4E"/>
    <w:rsid w:val="0059052F"/>
    <w:rsid w:val="00591241"/>
    <w:rsid w:val="0059275B"/>
    <w:rsid w:val="00592889"/>
    <w:rsid w:val="00593183"/>
    <w:rsid w:val="0059355D"/>
    <w:rsid w:val="00594247"/>
    <w:rsid w:val="005942FA"/>
    <w:rsid w:val="00594CF9"/>
    <w:rsid w:val="00594FF5"/>
    <w:rsid w:val="005950E0"/>
    <w:rsid w:val="00595A31"/>
    <w:rsid w:val="005965A3"/>
    <w:rsid w:val="00597311"/>
    <w:rsid w:val="00597696"/>
    <w:rsid w:val="005978E0"/>
    <w:rsid w:val="00597960"/>
    <w:rsid w:val="00597C90"/>
    <w:rsid w:val="005A0AAD"/>
    <w:rsid w:val="005A0E58"/>
    <w:rsid w:val="005A15FB"/>
    <w:rsid w:val="005A18A4"/>
    <w:rsid w:val="005A21BF"/>
    <w:rsid w:val="005A2301"/>
    <w:rsid w:val="005A2378"/>
    <w:rsid w:val="005A31C3"/>
    <w:rsid w:val="005A3E92"/>
    <w:rsid w:val="005A45CA"/>
    <w:rsid w:val="005A4A32"/>
    <w:rsid w:val="005A4D3E"/>
    <w:rsid w:val="005A51CC"/>
    <w:rsid w:val="005A58C4"/>
    <w:rsid w:val="005A639D"/>
    <w:rsid w:val="005A665B"/>
    <w:rsid w:val="005A6C7A"/>
    <w:rsid w:val="005A713F"/>
    <w:rsid w:val="005A77E9"/>
    <w:rsid w:val="005B04EA"/>
    <w:rsid w:val="005B16F5"/>
    <w:rsid w:val="005B215E"/>
    <w:rsid w:val="005B2693"/>
    <w:rsid w:val="005B3A25"/>
    <w:rsid w:val="005B40A9"/>
    <w:rsid w:val="005B41D7"/>
    <w:rsid w:val="005B4549"/>
    <w:rsid w:val="005B4F46"/>
    <w:rsid w:val="005B6031"/>
    <w:rsid w:val="005B6BD4"/>
    <w:rsid w:val="005C035D"/>
    <w:rsid w:val="005C04F1"/>
    <w:rsid w:val="005C052B"/>
    <w:rsid w:val="005C0728"/>
    <w:rsid w:val="005C07F7"/>
    <w:rsid w:val="005C15B2"/>
    <w:rsid w:val="005C1D00"/>
    <w:rsid w:val="005C1D90"/>
    <w:rsid w:val="005C2872"/>
    <w:rsid w:val="005C2BB4"/>
    <w:rsid w:val="005C2D31"/>
    <w:rsid w:val="005C338F"/>
    <w:rsid w:val="005C33A5"/>
    <w:rsid w:val="005C3702"/>
    <w:rsid w:val="005C3935"/>
    <w:rsid w:val="005C4BA9"/>
    <w:rsid w:val="005C4F6F"/>
    <w:rsid w:val="005C5BD0"/>
    <w:rsid w:val="005C6A68"/>
    <w:rsid w:val="005C7497"/>
    <w:rsid w:val="005C7B4A"/>
    <w:rsid w:val="005D005F"/>
    <w:rsid w:val="005D0209"/>
    <w:rsid w:val="005D035B"/>
    <w:rsid w:val="005D067B"/>
    <w:rsid w:val="005D0A02"/>
    <w:rsid w:val="005D0B94"/>
    <w:rsid w:val="005D1224"/>
    <w:rsid w:val="005D13DC"/>
    <w:rsid w:val="005D142A"/>
    <w:rsid w:val="005D1761"/>
    <w:rsid w:val="005D21DC"/>
    <w:rsid w:val="005D2505"/>
    <w:rsid w:val="005D26F2"/>
    <w:rsid w:val="005D292B"/>
    <w:rsid w:val="005D29CE"/>
    <w:rsid w:val="005D2A16"/>
    <w:rsid w:val="005D36ED"/>
    <w:rsid w:val="005D3916"/>
    <w:rsid w:val="005D40B6"/>
    <w:rsid w:val="005D54E6"/>
    <w:rsid w:val="005D5A69"/>
    <w:rsid w:val="005D5AE4"/>
    <w:rsid w:val="005D6319"/>
    <w:rsid w:val="005D6951"/>
    <w:rsid w:val="005D7B3A"/>
    <w:rsid w:val="005D7C0E"/>
    <w:rsid w:val="005D7F5B"/>
    <w:rsid w:val="005E095C"/>
    <w:rsid w:val="005E115A"/>
    <w:rsid w:val="005E1B25"/>
    <w:rsid w:val="005E25A2"/>
    <w:rsid w:val="005E26F5"/>
    <w:rsid w:val="005E3574"/>
    <w:rsid w:val="005E3914"/>
    <w:rsid w:val="005E393C"/>
    <w:rsid w:val="005E39C0"/>
    <w:rsid w:val="005E3AA9"/>
    <w:rsid w:val="005E4B62"/>
    <w:rsid w:val="005E51C3"/>
    <w:rsid w:val="005E5588"/>
    <w:rsid w:val="005E61C4"/>
    <w:rsid w:val="005E6823"/>
    <w:rsid w:val="005E6D1E"/>
    <w:rsid w:val="005E6D41"/>
    <w:rsid w:val="005E6E0F"/>
    <w:rsid w:val="005E6F83"/>
    <w:rsid w:val="005E7DCC"/>
    <w:rsid w:val="005F07B9"/>
    <w:rsid w:val="005F1A6A"/>
    <w:rsid w:val="005F1F4B"/>
    <w:rsid w:val="005F2A04"/>
    <w:rsid w:val="005F408C"/>
    <w:rsid w:val="005F4DD8"/>
    <w:rsid w:val="005F4E17"/>
    <w:rsid w:val="005F551D"/>
    <w:rsid w:val="005F5843"/>
    <w:rsid w:val="005F5F97"/>
    <w:rsid w:val="005F60C4"/>
    <w:rsid w:val="005F6C20"/>
    <w:rsid w:val="005F6E4D"/>
    <w:rsid w:val="0060083E"/>
    <w:rsid w:val="00600C38"/>
    <w:rsid w:val="00600C84"/>
    <w:rsid w:val="00600DA7"/>
    <w:rsid w:val="00601112"/>
    <w:rsid w:val="006012FC"/>
    <w:rsid w:val="006013A3"/>
    <w:rsid w:val="00601A7A"/>
    <w:rsid w:val="00601F93"/>
    <w:rsid w:val="006032B9"/>
    <w:rsid w:val="00604F71"/>
    <w:rsid w:val="0060583F"/>
    <w:rsid w:val="00606589"/>
    <w:rsid w:val="00606E9A"/>
    <w:rsid w:val="006101F0"/>
    <w:rsid w:val="00610436"/>
    <w:rsid w:val="00611B29"/>
    <w:rsid w:val="00611DF6"/>
    <w:rsid w:val="00612199"/>
    <w:rsid w:val="0061303A"/>
    <w:rsid w:val="00613AFA"/>
    <w:rsid w:val="00613DEB"/>
    <w:rsid w:val="0061409C"/>
    <w:rsid w:val="0061538C"/>
    <w:rsid w:val="006154B3"/>
    <w:rsid w:val="00615950"/>
    <w:rsid w:val="006159F1"/>
    <w:rsid w:val="00616E8D"/>
    <w:rsid w:val="00617C7E"/>
    <w:rsid w:val="00620BC3"/>
    <w:rsid w:val="00621BD3"/>
    <w:rsid w:val="00621BD5"/>
    <w:rsid w:val="00621C65"/>
    <w:rsid w:val="00621D7B"/>
    <w:rsid w:val="00621F55"/>
    <w:rsid w:val="00623143"/>
    <w:rsid w:val="006231B7"/>
    <w:rsid w:val="006233C7"/>
    <w:rsid w:val="00623A37"/>
    <w:rsid w:val="00623A3F"/>
    <w:rsid w:val="00623BE9"/>
    <w:rsid w:val="00623BEE"/>
    <w:rsid w:val="0062439A"/>
    <w:rsid w:val="006255A5"/>
    <w:rsid w:val="00625B25"/>
    <w:rsid w:val="006263B5"/>
    <w:rsid w:val="00626598"/>
    <w:rsid w:val="006268D2"/>
    <w:rsid w:val="00627547"/>
    <w:rsid w:val="00627853"/>
    <w:rsid w:val="00627FC2"/>
    <w:rsid w:val="00630286"/>
    <w:rsid w:val="006302FB"/>
    <w:rsid w:val="00631062"/>
    <w:rsid w:val="006315D2"/>
    <w:rsid w:val="0063171B"/>
    <w:rsid w:val="006321A2"/>
    <w:rsid w:val="00632238"/>
    <w:rsid w:val="006327B4"/>
    <w:rsid w:val="00633675"/>
    <w:rsid w:val="00633E94"/>
    <w:rsid w:val="00634388"/>
    <w:rsid w:val="00635581"/>
    <w:rsid w:val="00635861"/>
    <w:rsid w:val="00635878"/>
    <w:rsid w:val="006363E6"/>
    <w:rsid w:val="006378EC"/>
    <w:rsid w:val="0064086C"/>
    <w:rsid w:val="006409F8"/>
    <w:rsid w:val="0064144C"/>
    <w:rsid w:val="006427E8"/>
    <w:rsid w:val="00642A63"/>
    <w:rsid w:val="00642CDA"/>
    <w:rsid w:val="00642FDA"/>
    <w:rsid w:val="0064452C"/>
    <w:rsid w:val="00644A2B"/>
    <w:rsid w:val="00645209"/>
    <w:rsid w:val="00645475"/>
    <w:rsid w:val="00645587"/>
    <w:rsid w:val="00645A13"/>
    <w:rsid w:val="006462CA"/>
    <w:rsid w:val="0064730A"/>
    <w:rsid w:val="00647312"/>
    <w:rsid w:val="00647739"/>
    <w:rsid w:val="00647AE8"/>
    <w:rsid w:val="00650034"/>
    <w:rsid w:val="00650B0F"/>
    <w:rsid w:val="00650E11"/>
    <w:rsid w:val="00650EB2"/>
    <w:rsid w:val="006510C5"/>
    <w:rsid w:val="00651150"/>
    <w:rsid w:val="0065181D"/>
    <w:rsid w:val="0065189B"/>
    <w:rsid w:val="00652045"/>
    <w:rsid w:val="006521AA"/>
    <w:rsid w:val="00652933"/>
    <w:rsid w:val="00652B12"/>
    <w:rsid w:val="006535D6"/>
    <w:rsid w:val="00653689"/>
    <w:rsid w:val="00653B1C"/>
    <w:rsid w:val="00654A75"/>
    <w:rsid w:val="00656193"/>
    <w:rsid w:val="00656521"/>
    <w:rsid w:val="00656580"/>
    <w:rsid w:val="00656772"/>
    <w:rsid w:val="00657D71"/>
    <w:rsid w:val="00660640"/>
    <w:rsid w:val="00660716"/>
    <w:rsid w:val="00660B51"/>
    <w:rsid w:val="00660FD4"/>
    <w:rsid w:val="00661115"/>
    <w:rsid w:val="006611FA"/>
    <w:rsid w:val="00661719"/>
    <w:rsid w:val="00661A71"/>
    <w:rsid w:val="00661DD8"/>
    <w:rsid w:val="00662D5F"/>
    <w:rsid w:val="00662F37"/>
    <w:rsid w:val="0066356A"/>
    <w:rsid w:val="0066357D"/>
    <w:rsid w:val="00663BFF"/>
    <w:rsid w:val="00664385"/>
    <w:rsid w:val="006645DF"/>
    <w:rsid w:val="00664AFF"/>
    <w:rsid w:val="00665431"/>
    <w:rsid w:val="0066552A"/>
    <w:rsid w:val="00665727"/>
    <w:rsid w:val="0066616A"/>
    <w:rsid w:val="00667201"/>
    <w:rsid w:val="00667820"/>
    <w:rsid w:val="006678C0"/>
    <w:rsid w:val="00667941"/>
    <w:rsid w:val="006701D0"/>
    <w:rsid w:val="00670242"/>
    <w:rsid w:val="0067029D"/>
    <w:rsid w:val="00670972"/>
    <w:rsid w:val="00670A16"/>
    <w:rsid w:val="00670E33"/>
    <w:rsid w:val="00670FE0"/>
    <w:rsid w:val="0067155F"/>
    <w:rsid w:val="006717D6"/>
    <w:rsid w:val="00671A38"/>
    <w:rsid w:val="006723BD"/>
    <w:rsid w:val="0067279E"/>
    <w:rsid w:val="00672BDE"/>
    <w:rsid w:val="006732F2"/>
    <w:rsid w:val="006733D0"/>
    <w:rsid w:val="0067382E"/>
    <w:rsid w:val="006739C0"/>
    <w:rsid w:val="00674621"/>
    <w:rsid w:val="006756FD"/>
    <w:rsid w:val="00676ACB"/>
    <w:rsid w:val="006770D1"/>
    <w:rsid w:val="00677121"/>
    <w:rsid w:val="006774B6"/>
    <w:rsid w:val="0067756E"/>
    <w:rsid w:val="00677C6D"/>
    <w:rsid w:val="006803CF"/>
    <w:rsid w:val="0068091E"/>
    <w:rsid w:val="0068172A"/>
    <w:rsid w:val="0068199E"/>
    <w:rsid w:val="00681CE0"/>
    <w:rsid w:val="006820CE"/>
    <w:rsid w:val="0068432F"/>
    <w:rsid w:val="0068476A"/>
    <w:rsid w:val="00684AD6"/>
    <w:rsid w:val="00684B5C"/>
    <w:rsid w:val="00684E97"/>
    <w:rsid w:val="00684F12"/>
    <w:rsid w:val="00685FA0"/>
    <w:rsid w:val="00686077"/>
    <w:rsid w:val="006867F7"/>
    <w:rsid w:val="00687579"/>
    <w:rsid w:val="0068791E"/>
    <w:rsid w:val="00687E4C"/>
    <w:rsid w:val="006906AB"/>
    <w:rsid w:val="00690773"/>
    <w:rsid w:val="00690A49"/>
    <w:rsid w:val="00690B24"/>
    <w:rsid w:val="00690E8B"/>
    <w:rsid w:val="00690FD9"/>
    <w:rsid w:val="00692368"/>
    <w:rsid w:val="006923F1"/>
    <w:rsid w:val="00692624"/>
    <w:rsid w:val="00692B5D"/>
    <w:rsid w:val="00692D60"/>
    <w:rsid w:val="00693448"/>
    <w:rsid w:val="00693A46"/>
    <w:rsid w:val="00693A5F"/>
    <w:rsid w:val="006949E1"/>
    <w:rsid w:val="00694B9A"/>
    <w:rsid w:val="00695BB4"/>
    <w:rsid w:val="00695DEF"/>
    <w:rsid w:val="00696417"/>
    <w:rsid w:val="006966F0"/>
    <w:rsid w:val="00696CED"/>
    <w:rsid w:val="00696F84"/>
    <w:rsid w:val="00697524"/>
    <w:rsid w:val="006A1F59"/>
    <w:rsid w:val="006A2187"/>
    <w:rsid w:val="006A2282"/>
    <w:rsid w:val="006A23E7"/>
    <w:rsid w:val="006A288E"/>
    <w:rsid w:val="006A3E06"/>
    <w:rsid w:val="006A4523"/>
    <w:rsid w:val="006A45CF"/>
    <w:rsid w:val="006A4DB8"/>
    <w:rsid w:val="006A4E38"/>
    <w:rsid w:val="006A4E95"/>
    <w:rsid w:val="006A6376"/>
    <w:rsid w:val="006A64A9"/>
    <w:rsid w:val="006A6795"/>
    <w:rsid w:val="006A6ECE"/>
    <w:rsid w:val="006A7C23"/>
    <w:rsid w:val="006B0545"/>
    <w:rsid w:val="006B0693"/>
    <w:rsid w:val="006B0736"/>
    <w:rsid w:val="006B09FE"/>
    <w:rsid w:val="006B0C97"/>
    <w:rsid w:val="006B12DE"/>
    <w:rsid w:val="006B1F81"/>
    <w:rsid w:val="006B1FC8"/>
    <w:rsid w:val="006B22D3"/>
    <w:rsid w:val="006B2757"/>
    <w:rsid w:val="006B28B0"/>
    <w:rsid w:val="006B2948"/>
    <w:rsid w:val="006B2C23"/>
    <w:rsid w:val="006B2FD6"/>
    <w:rsid w:val="006B38D3"/>
    <w:rsid w:val="006B3B1E"/>
    <w:rsid w:val="006B439A"/>
    <w:rsid w:val="006B465F"/>
    <w:rsid w:val="006B46A6"/>
    <w:rsid w:val="006B4912"/>
    <w:rsid w:val="006B4B55"/>
    <w:rsid w:val="006B61B8"/>
    <w:rsid w:val="006B635E"/>
    <w:rsid w:val="006B6CFF"/>
    <w:rsid w:val="006B7185"/>
    <w:rsid w:val="006B7676"/>
    <w:rsid w:val="006B776C"/>
    <w:rsid w:val="006B784F"/>
    <w:rsid w:val="006C00FD"/>
    <w:rsid w:val="006C0989"/>
    <w:rsid w:val="006C1960"/>
    <w:rsid w:val="006C29CF"/>
    <w:rsid w:val="006C2A07"/>
    <w:rsid w:val="006C2F65"/>
    <w:rsid w:val="006C336D"/>
    <w:rsid w:val="006C3804"/>
    <w:rsid w:val="006C3876"/>
    <w:rsid w:val="006C46CD"/>
    <w:rsid w:val="006C4BF5"/>
    <w:rsid w:val="006C4CEC"/>
    <w:rsid w:val="006C4E51"/>
    <w:rsid w:val="006C6634"/>
    <w:rsid w:val="006C6888"/>
    <w:rsid w:val="006C7321"/>
    <w:rsid w:val="006C7433"/>
    <w:rsid w:val="006C74AB"/>
    <w:rsid w:val="006D052C"/>
    <w:rsid w:val="006D05CC"/>
    <w:rsid w:val="006D0FE4"/>
    <w:rsid w:val="006D198C"/>
    <w:rsid w:val="006D1AAA"/>
    <w:rsid w:val="006D1B97"/>
    <w:rsid w:val="006D1BD6"/>
    <w:rsid w:val="006D255E"/>
    <w:rsid w:val="006D30D7"/>
    <w:rsid w:val="006D323D"/>
    <w:rsid w:val="006D345C"/>
    <w:rsid w:val="006D3A6D"/>
    <w:rsid w:val="006D4E48"/>
    <w:rsid w:val="006D58A5"/>
    <w:rsid w:val="006D6597"/>
    <w:rsid w:val="006D67EE"/>
    <w:rsid w:val="006D707E"/>
    <w:rsid w:val="006D770D"/>
    <w:rsid w:val="006D7736"/>
    <w:rsid w:val="006D7D24"/>
    <w:rsid w:val="006E13D2"/>
    <w:rsid w:val="006E18C6"/>
    <w:rsid w:val="006E1DAB"/>
    <w:rsid w:val="006E2673"/>
    <w:rsid w:val="006E26D0"/>
    <w:rsid w:val="006E2FEC"/>
    <w:rsid w:val="006E328A"/>
    <w:rsid w:val="006E3700"/>
    <w:rsid w:val="006E39FD"/>
    <w:rsid w:val="006E3E5D"/>
    <w:rsid w:val="006E3F38"/>
    <w:rsid w:val="006E4010"/>
    <w:rsid w:val="006E4390"/>
    <w:rsid w:val="006E4A5F"/>
    <w:rsid w:val="006E53A4"/>
    <w:rsid w:val="006E5E10"/>
    <w:rsid w:val="006E6186"/>
    <w:rsid w:val="006E6B96"/>
    <w:rsid w:val="006E730E"/>
    <w:rsid w:val="006F008E"/>
    <w:rsid w:val="006F0227"/>
    <w:rsid w:val="006F1D6D"/>
    <w:rsid w:val="006F2A84"/>
    <w:rsid w:val="006F3823"/>
    <w:rsid w:val="006F3895"/>
    <w:rsid w:val="006F43EE"/>
    <w:rsid w:val="006F4550"/>
    <w:rsid w:val="006F4D44"/>
    <w:rsid w:val="006F4E09"/>
    <w:rsid w:val="006F53E5"/>
    <w:rsid w:val="006F540B"/>
    <w:rsid w:val="006F55AB"/>
    <w:rsid w:val="006F6014"/>
    <w:rsid w:val="006F602D"/>
    <w:rsid w:val="006F622C"/>
    <w:rsid w:val="006F7593"/>
    <w:rsid w:val="006F76D3"/>
    <w:rsid w:val="006F77E2"/>
    <w:rsid w:val="006F7DEF"/>
    <w:rsid w:val="006F7FEE"/>
    <w:rsid w:val="00700DCE"/>
    <w:rsid w:val="00700DFC"/>
    <w:rsid w:val="00700E7E"/>
    <w:rsid w:val="007010A9"/>
    <w:rsid w:val="0070162C"/>
    <w:rsid w:val="00702058"/>
    <w:rsid w:val="00702135"/>
    <w:rsid w:val="00702223"/>
    <w:rsid w:val="007025A0"/>
    <w:rsid w:val="0070287A"/>
    <w:rsid w:val="00703923"/>
    <w:rsid w:val="00703961"/>
    <w:rsid w:val="00704090"/>
    <w:rsid w:val="007047C2"/>
    <w:rsid w:val="00704991"/>
    <w:rsid w:val="00705493"/>
    <w:rsid w:val="00705760"/>
    <w:rsid w:val="0070584D"/>
    <w:rsid w:val="00705D81"/>
    <w:rsid w:val="00706BBE"/>
    <w:rsid w:val="0070705A"/>
    <w:rsid w:val="00707678"/>
    <w:rsid w:val="007078D8"/>
    <w:rsid w:val="007102C6"/>
    <w:rsid w:val="00710343"/>
    <w:rsid w:val="00710DF0"/>
    <w:rsid w:val="00711097"/>
    <w:rsid w:val="00711557"/>
    <w:rsid w:val="00711FF2"/>
    <w:rsid w:val="00712331"/>
    <w:rsid w:val="007123BF"/>
    <w:rsid w:val="007123D3"/>
    <w:rsid w:val="00712487"/>
    <w:rsid w:val="00713224"/>
    <w:rsid w:val="00713D8E"/>
    <w:rsid w:val="0071407C"/>
    <w:rsid w:val="007146A1"/>
    <w:rsid w:val="00714703"/>
    <w:rsid w:val="00714977"/>
    <w:rsid w:val="00714CC5"/>
    <w:rsid w:val="0071537E"/>
    <w:rsid w:val="00717B28"/>
    <w:rsid w:val="0072002A"/>
    <w:rsid w:val="00720589"/>
    <w:rsid w:val="00721F7B"/>
    <w:rsid w:val="00722844"/>
    <w:rsid w:val="00722BF7"/>
    <w:rsid w:val="007235CA"/>
    <w:rsid w:val="007237A6"/>
    <w:rsid w:val="0072385B"/>
    <w:rsid w:val="0072407D"/>
    <w:rsid w:val="00724882"/>
    <w:rsid w:val="00725041"/>
    <w:rsid w:val="0072535A"/>
    <w:rsid w:val="00725D22"/>
    <w:rsid w:val="007260B1"/>
    <w:rsid w:val="007266C1"/>
    <w:rsid w:val="007271A3"/>
    <w:rsid w:val="00727222"/>
    <w:rsid w:val="00727923"/>
    <w:rsid w:val="00730A91"/>
    <w:rsid w:val="00730EA0"/>
    <w:rsid w:val="00730EBC"/>
    <w:rsid w:val="00731EC3"/>
    <w:rsid w:val="00732681"/>
    <w:rsid w:val="00732A79"/>
    <w:rsid w:val="00732E27"/>
    <w:rsid w:val="00733B4F"/>
    <w:rsid w:val="00734125"/>
    <w:rsid w:val="00734B27"/>
    <w:rsid w:val="00734CC7"/>
    <w:rsid w:val="00734ED4"/>
    <w:rsid w:val="00734F35"/>
    <w:rsid w:val="00735A94"/>
    <w:rsid w:val="00735AFF"/>
    <w:rsid w:val="00735FDD"/>
    <w:rsid w:val="00736205"/>
    <w:rsid w:val="0073633A"/>
    <w:rsid w:val="00736489"/>
    <w:rsid w:val="00736B55"/>
    <w:rsid w:val="00737120"/>
    <w:rsid w:val="007374F8"/>
    <w:rsid w:val="00737972"/>
    <w:rsid w:val="00737BCA"/>
    <w:rsid w:val="00737C98"/>
    <w:rsid w:val="007402C0"/>
    <w:rsid w:val="007403B6"/>
    <w:rsid w:val="00740AF8"/>
    <w:rsid w:val="00740C52"/>
    <w:rsid w:val="00740FBF"/>
    <w:rsid w:val="00740FD7"/>
    <w:rsid w:val="00742EA2"/>
    <w:rsid w:val="0074344F"/>
    <w:rsid w:val="00743A44"/>
    <w:rsid w:val="007440BA"/>
    <w:rsid w:val="007442BE"/>
    <w:rsid w:val="00744C79"/>
    <w:rsid w:val="0074535C"/>
    <w:rsid w:val="00746988"/>
    <w:rsid w:val="0074727B"/>
    <w:rsid w:val="0074758B"/>
    <w:rsid w:val="00747DAD"/>
    <w:rsid w:val="00750A8B"/>
    <w:rsid w:val="00750C82"/>
    <w:rsid w:val="00750CFF"/>
    <w:rsid w:val="00750E9B"/>
    <w:rsid w:val="00751B02"/>
    <w:rsid w:val="00752042"/>
    <w:rsid w:val="007521BA"/>
    <w:rsid w:val="0075245D"/>
    <w:rsid w:val="007525C4"/>
    <w:rsid w:val="00752AE7"/>
    <w:rsid w:val="007531F4"/>
    <w:rsid w:val="0075397A"/>
    <w:rsid w:val="0075399B"/>
    <w:rsid w:val="0075425E"/>
    <w:rsid w:val="00754433"/>
    <w:rsid w:val="007548EC"/>
    <w:rsid w:val="00754B04"/>
    <w:rsid w:val="00754DB3"/>
    <w:rsid w:val="00754F98"/>
    <w:rsid w:val="0075580B"/>
    <w:rsid w:val="00755E1B"/>
    <w:rsid w:val="00756603"/>
    <w:rsid w:val="00756B59"/>
    <w:rsid w:val="00756CCD"/>
    <w:rsid w:val="00756F2F"/>
    <w:rsid w:val="00757C00"/>
    <w:rsid w:val="00757E5B"/>
    <w:rsid w:val="00760715"/>
    <w:rsid w:val="00760AF1"/>
    <w:rsid w:val="0076103B"/>
    <w:rsid w:val="007613FE"/>
    <w:rsid w:val="00762282"/>
    <w:rsid w:val="00762658"/>
    <w:rsid w:val="007626BF"/>
    <w:rsid w:val="00762754"/>
    <w:rsid w:val="00762998"/>
    <w:rsid w:val="00762C72"/>
    <w:rsid w:val="00762D64"/>
    <w:rsid w:val="00762D68"/>
    <w:rsid w:val="0076312E"/>
    <w:rsid w:val="007634DC"/>
    <w:rsid w:val="007634FE"/>
    <w:rsid w:val="007637B2"/>
    <w:rsid w:val="00763F01"/>
    <w:rsid w:val="00764F80"/>
    <w:rsid w:val="00765521"/>
    <w:rsid w:val="00765DD1"/>
    <w:rsid w:val="00765E11"/>
    <w:rsid w:val="007663C5"/>
    <w:rsid w:val="007665C1"/>
    <w:rsid w:val="00766B73"/>
    <w:rsid w:val="00766ECD"/>
    <w:rsid w:val="007675CA"/>
    <w:rsid w:val="00767799"/>
    <w:rsid w:val="00767A6E"/>
    <w:rsid w:val="0077042E"/>
    <w:rsid w:val="0077044A"/>
    <w:rsid w:val="00770A40"/>
    <w:rsid w:val="00771232"/>
    <w:rsid w:val="007712AA"/>
    <w:rsid w:val="00771301"/>
    <w:rsid w:val="0077183B"/>
    <w:rsid w:val="00771D6B"/>
    <w:rsid w:val="007722AA"/>
    <w:rsid w:val="0077283D"/>
    <w:rsid w:val="00772A93"/>
    <w:rsid w:val="00772E09"/>
    <w:rsid w:val="007736F6"/>
    <w:rsid w:val="00773CC6"/>
    <w:rsid w:val="0077489E"/>
    <w:rsid w:val="00774ED7"/>
    <w:rsid w:val="007755E9"/>
    <w:rsid w:val="00775831"/>
    <w:rsid w:val="00775A32"/>
    <w:rsid w:val="00776576"/>
    <w:rsid w:val="0077688D"/>
    <w:rsid w:val="0078020D"/>
    <w:rsid w:val="007809AB"/>
    <w:rsid w:val="0078182F"/>
    <w:rsid w:val="007824AA"/>
    <w:rsid w:val="0078263F"/>
    <w:rsid w:val="0078278A"/>
    <w:rsid w:val="00782F35"/>
    <w:rsid w:val="00783795"/>
    <w:rsid w:val="0078444E"/>
    <w:rsid w:val="0078450F"/>
    <w:rsid w:val="00784550"/>
    <w:rsid w:val="007845D0"/>
    <w:rsid w:val="00784BA2"/>
    <w:rsid w:val="00784CCD"/>
    <w:rsid w:val="00784F52"/>
    <w:rsid w:val="0078505B"/>
    <w:rsid w:val="0078519A"/>
    <w:rsid w:val="007859CF"/>
    <w:rsid w:val="00785FBC"/>
    <w:rsid w:val="0078647F"/>
    <w:rsid w:val="00787272"/>
    <w:rsid w:val="00787A01"/>
    <w:rsid w:val="007911D8"/>
    <w:rsid w:val="0079187E"/>
    <w:rsid w:val="00791A50"/>
    <w:rsid w:val="00792362"/>
    <w:rsid w:val="007924DE"/>
    <w:rsid w:val="00793FC1"/>
    <w:rsid w:val="00794B96"/>
    <w:rsid w:val="00794D83"/>
    <w:rsid w:val="00795A7B"/>
    <w:rsid w:val="0079602C"/>
    <w:rsid w:val="00796083"/>
    <w:rsid w:val="00796114"/>
    <w:rsid w:val="00796472"/>
    <w:rsid w:val="0079660E"/>
    <w:rsid w:val="00796C7A"/>
    <w:rsid w:val="00796E10"/>
    <w:rsid w:val="00796F29"/>
    <w:rsid w:val="007972A0"/>
    <w:rsid w:val="007A096E"/>
    <w:rsid w:val="007A0B94"/>
    <w:rsid w:val="007A292D"/>
    <w:rsid w:val="007A30C0"/>
    <w:rsid w:val="007A32BC"/>
    <w:rsid w:val="007A385A"/>
    <w:rsid w:val="007A469A"/>
    <w:rsid w:val="007A4802"/>
    <w:rsid w:val="007A4B33"/>
    <w:rsid w:val="007A4F9B"/>
    <w:rsid w:val="007A60FB"/>
    <w:rsid w:val="007A6938"/>
    <w:rsid w:val="007A79F6"/>
    <w:rsid w:val="007A7CD6"/>
    <w:rsid w:val="007B0CE1"/>
    <w:rsid w:val="007B1B57"/>
    <w:rsid w:val="007B238C"/>
    <w:rsid w:val="007B29D8"/>
    <w:rsid w:val="007B2D13"/>
    <w:rsid w:val="007B2EE4"/>
    <w:rsid w:val="007B2FB1"/>
    <w:rsid w:val="007B313E"/>
    <w:rsid w:val="007B3780"/>
    <w:rsid w:val="007B4A21"/>
    <w:rsid w:val="007B4A73"/>
    <w:rsid w:val="007B59D3"/>
    <w:rsid w:val="007B6202"/>
    <w:rsid w:val="007B62F3"/>
    <w:rsid w:val="007B6887"/>
    <w:rsid w:val="007B6D02"/>
    <w:rsid w:val="007B737A"/>
    <w:rsid w:val="007B770D"/>
    <w:rsid w:val="007B7FC7"/>
    <w:rsid w:val="007C0798"/>
    <w:rsid w:val="007C0B02"/>
    <w:rsid w:val="007C0DCD"/>
    <w:rsid w:val="007C0EA8"/>
    <w:rsid w:val="007C137E"/>
    <w:rsid w:val="007C14B7"/>
    <w:rsid w:val="007C17C6"/>
    <w:rsid w:val="007C3D2F"/>
    <w:rsid w:val="007C4D7D"/>
    <w:rsid w:val="007C5020"/>
    <w:rsid w:val="007C52DF"/>
    <w:rsid w:val="007C6563"/>
    <w:rsid w:val="007C65C6"/>
    <w:rsid w:val="007C6A8F"/>
    <w:rsid w:val="007C745D"/>
    <w:rsid w:val="007C7BC7"/>
    <w:rsid w:val="007D0610"/>
    <w:rsid w:val="007D1395"/>
    <w:rsid w:val="007D1507"/>
    <w:rsid w:val="007D1515"/>
    <w:rsid w:val="007D2171"/>
    <w:rsid w:val="007D247D"/>
    <w:rsid w:val="007D2C30"/>
    <w:rsid w:val="007D30ED"/>
    <w:rsid w:val="007D337C"/>
    <w:rsid w:val="007D4B55"/>
    <w:rsid w:val="007D4FF8"/>
    <w:rsid w:val="007D507D"/>
    <w:rsid w:val="007D56C1"/>
    <w:rsid w:val="007D583C"/>
    <w:rsid w:val="007D632C"/>
    <w:rsid w:val="007D6500"/>
    <w:rsid w:val="007D685C"/>
    <w:rsid w:val="007D784C"/>
    <w:rsid w:val="007D7C64"/>
    <w:rsid w:val="007D7C9F"/>
    <w:rsid w:val="007E01EC"/>
    <w:rsid w:val="007E0344"/>
    <w:rsid w:val="007E0705"/>
    <w:rsid w:val="007E1354"/>
    <w:rsid w:val="007E1CB7"/>
    <w:rsid w:val="007E24CC"/>
    <w:rsid w:val="007E3670"/>
    <w:rsid w:val="007E3D55"/>
    <w:rsid w:val="007E3E78"/>
    <w:rsid w:val="007E43ED"/>
    <w:rsid w:val="007E459C"/>
    <w:rsid w:val="007E4E0D"/>
    <w:rsid w:val="007E4FA4"/>
    <w:rsid w:val="007E5534"/>
    <w:rsid w:val="007E56DE"/>
    <w:rsid w:val="007E5C7A"/>
    <w:rsid w:val="007E5D9F"/>
    <w:rsid w:val="007E61FF"/>
    <w:rsid w:val="007E715C"/>
    <w:rsid w:val="007E729C"/>
    <w:rsid w:val="007E796F"/>
    <w:rsid w:val="007E7F14"/>
    <w:rsid w:val="007F0189"/>
    <w:rsid w:val="007F0694"/>
    <w:rsid w:val="007F0E8B"/>
    <w:rsid w:val="007F1220"/>
    <w:rsid w:val="007F1940"/>
    <w:rsid w:val="007F2626"/>
    <w:rsid w:val="007F28AD"/>
    <w:rsid w:val="007F3582"/>
    <w:rsid w:val="007F4011"/>
    <w:rsid w:val="007F4BCF"/>
    <w:rsid w:val="007F4E03"/>
    <w:rsid w:val="007F56D0"/>
    <w:rsid w:val="007F5AAD"/>
    <w:rsid w:val="007F5E5D"/>
    <w:rsid w:val="007F60AD"/>
    <w:rsid w:val="007F620E"/>
    <w:rsid w:val="007F623A"/>
    <w:rsid w:val="007F6EEE"/>
    <w:rsid w:val="007F7DBE"/>
    <w:rsid w:val="0080048F"/>
    <w:rsid w:val="00800BFB"/>
    <w:rsid w:val="00800C1F"/>
    <w:rsid w:val="00801079"/>
    <w:rsid w:val="00801132"/>
    <w:rsid w:val="00801DF4"/>
    <w:rsid w:val="00801F4D"/>
    <w:rsid w:val="008020A1"/>
    <w:rsid w:val="008020E5"/>
    <w:rsid w:val="008021F8"/>
    <w:rsid w:val="00802C29"/>
    <w:rsid w:val="00803A6E"/>
    <w:rsid w:val="008043CF"/>
    <w:rsid w:val="00804960"/>
    <w:rsid w:val="00804B51"/>
    <w:rsid w:val="00804D79"/>
    <w:rsid w:val="00805F63"/>
    <w:rsid w:val="00806607"/>
    <w:rsid w:val="008066DE"/>
    <w:rsid w:val="00807050"/>
    <w:rsid w:val="00807B6D"/>
    <w:rsid w:val="00810635"/>
    <w:rsid w:val="00810E64"/>
    <w:rsid w:val="008112DB"/>
    <w:rsid w:val="00811313"/>
    <w:rsid w:val="008115A0"/>
    <w:rsid w:val="00811BA2"/>
    <w:rsid w:val="0081210D"/>
    <w:rsid w:val="008121BE"/>
    <w:rsid w:val="008123A4"/>
    <w:rsid w:val="00812875"/>
    <w:rsid w:val="00812A78"/>
    <w:rsid w:val="00812A9D"/>
    <w:rsid w:val="00813223"/>
    <w:rsid w:val="00813C03"/>
    <w:rsid w:val="00813DA4"/>
    <w:rsid w:val="00814C97"/>
    <w:rsid w:val="0081502C"/>
    <w:rsid w:val="00815929"/>
    <w:rsid w:val="008164D5"/>
    <w:rsid w:val="00816A4F"/>
    <w:rsid w:val="00817E85"/>
    <w:rsid w:val="00817F0F"/>
    <w:rsid w:val="00820A5F"/>
    <w:rsid w:val="00820C2B"/>
    <w:rsid w:val="00821B90"/>
    <w:rsid w:val="00821C9F"/>
    <w:rsid w:val="00821D1F"/>
    <w:rsid w:val="008220D2"/>
    <w:rsid w:val="008220E1"/>
    <w:rsid w:val="0082212A"/>
    <w:rsid w:val="0082231F"/>
    <w:rsid w:val="008229D4"/>
    <w:rsid w:val="00822B4C"/>
    <w:rsid w:val="00823B43"/>
    <w:rsid w:val="0082498C"/>
    <w:rsid w:val="00826427"/>
    <w:rsid w:val="008274EC"/>
    <w:rsid w:val="00827502"/>
    <w:rsid w:val="008276C7"/>
    <w:rsid w:val="00827B98"/>
    <w:rsid w:val="00827BA0"/>
    <w:rsid w:val="00830A7B"/>
    <w:rsid w:val="00830E68"/>
    <w:rsid w:val="00830F29"/>
    <w:rsid w:val="00830FF1"/>
    <w:rsid w:val="008319C2"/>
    <w:rsid w:val="00831F63"/>
    <w:rsid w:val="008321A5"/>
    <w:rsid w:val="00832219"/>
    <w:rsid w:val="00832B14"/>
    <w:rsid w:val="00833025"/>
    <w:rsid w:val="00833675"/>
    <w:rsid w:val="00833DC8"/>
    <w:rsid w:val="00834A4A"/>
    <w:rsid w:val="00834B75"/>
    <w:rsid w:val="00835CAF"/>
    <w:rsid w:val="008362C8"/>
    <w:rsid w:val="008363DC"/>
    <w:rsid w:val="008364B2"/>
    <w:rsid w:val="00836A66"/>
    <w:rsid w:val="00837BEB"/>
    <w:rsid w:val="00837FD1"/>
    <w:rsid w:val="00840191"/>
    <w:rsid w:val="008406D4"/>
    <w:rsid w:val="008408C6"/>
    <w:rsid w:val="00840CE3"/>
    <w:rsid w:val="008417C1"/>
    <w:rsid w:val="00841C0A"/>
    <w:rsid w:val="00841E01"/>
    <w:rsid w:val="00841FDD"/>
    <w:rsid w:val="00842600"/>
    <w:rsid w:val="00842F62"/>
    <w:rsid w:val="00843408"/>
    <w:rsid w:val="00843BB4"/>
    <w:rsid w:val="00844024"/>
    <w:rsid w:val="00844618"/>
    <w:rsid w:val="00844C8B"/>
    <w:rsid w:val="0084593F"/>
    <w:rsid w:val="00845AF9"/>
    <w:rsid w:val="00846444"/>
    <w:rsid w:val="00847762"/>
    <w:rsid w:val="00847E50"/>
    <w:rsid w:val="00847E96"/>
    <w:rsid w:val="00850F66"/>
    <w:rsid w:val="008514D0"/>
    <w:rsid w:val="00851841"/>
    <w:rsid w:val="0085220D"/>
    <w:rsid w:val="00853E7F"/>
    <w:rsid w:val="00853EB5"/>
    <w:rsid w:val="00854A0A"/>
    <w:rsid w:val="00854F90"/>
    <w:rsid w:val="0085576B"/>
    <w:rsid w:val="008569D5"/>
    <w:rsid w:val="00860283"/>
    <w:rsid w:val="0086053C"/>
    <w:rsid w:val="00861B0D"/>
    <w:rsid w:val="00861C34"/>
    <w:rsid w:val="00861C98"/>
    <w:rsid w:val="00861E22"/>
    <w:rsid w:val="008625D4"/>
    <w:rsid w:val="00862706"/>
    <w:rsid w:val="008627A4"/>
    <w:rsid w:val="00863440"/>
    <w:rsid w:val="00863935"/>
    <w:rsid w:val="00863FE2"/>
    <w:rsid w:val="00864251"/>
    <w:rsid w:val="00864357"/>
    <w:rsid w:val="00864A65"/>
    <w:rsid w:val="00864A82"/>
    <w:rsid w:val="00864CE5"/>
    <w:rsid w:val="00864CF2"/>
    <w:rsid w:val="00865E0E"/>
    <w:rsid w:val="00865EEA"/>
    <w:rsid w:val="00866915"/>
    <w:rsid w:val="0086699E"/>
    <w:rsid w:val="0086700A"/>
    <w:rsid w:val="0086737F"/>
    <w:rsid w:val="0086780F"/>
    <w:rsid w:val="00867B7C"/>
    <w:rsid w:val="00867D58"/>
    <w:rsid w:val="00870310"/>
    <w:rsid w:val="00870D68"/>
    <w:rsid w:val="00871016"/>
    <w:rsid w:val="00871217"/>
    <w:rsid w:val="008719D4"/>
    <w:rsid w:val="00871F67"/>
    <w:rsid w:val="0087238F"/>
    <w:rsid w:val="008724E7"/>
    <w:rsid w:val="00872ABF"/>
    <w:rsid w:val="00872C17"/>
    <w:rsid w:val="00873115"/>
    <w:rsid w:val="008734F9"/>
    <w:rsid w:val="008734FB"/>
    <w:rsid w:val="00873FD9"/>
    <w:rsid w:val="00874D53"/>
    <w:rsid w:val="0087531F"/>
    <w:rsid w:val="00875DD6"/>
    <w:rsid w:val="008768A7"/>
    <w:rsid w:val="0087711B"/>
    <w:rsid w:val="00880305"/>
    <w:rsid w:val="00880401"/>
    <w:rsid w:val="0088059C"/>
    <w:rsid w:val="008807B4"/>
    <w:rsid w:val="00880937"/>
    <w:rsid w:val="0088132E"/>
    <w:rsid w:val="0088158B"/>
    <w:rsid w:val="008818FF"/>
    <w:rsid w:val="00881C16"/>
    <w:rsid w:val="0088249F"/>
    <w:rsid w:val="00882C63"/>
    <w:rsid w:val="00882C74"/>
    <w:rsid w:val="00882CE7"/>
    <w:rsid w:val="00882E3E"/>
    <w:rsid w:val="00883718"/>
    <w:rsid w:val="0088382C"/>
    <w:rsid w:val="00883859"/>
    <w:rsid w:val="00883C47"/>
    <w:rsid w:val="00883C50"/>
    <w:rsid w:val="008849FC"/>
    <w:rsid w:val="00884A77"/>
    <w:rsid w:val="0088526B"/>
    <w:rsid w:val="0088529C"/>
    <w:rsid w:val="00886567"/>
    <w:rsid w:val="008875A3"/>
    <w:rsid w:val="00890306"/>
    <w:rsid w:val="008906E3"/>
    <w:rsid w:val="00891B2C"/>
    <w:rsid w:val="008923F3"/>
    <w:rsid w:val="008939CB"/>
    <w:rsid w:val="00893FC6"/>
    <w:rsid w:val="00894090"/>
    <w:rsid w:val="0089458E"/>
    <w:rsid w:val="00896346"/>
    <w:rsid w:val="00896E47"/>
    <w:rsid w:val="00897269"/>
    <w:rsid w:val="0089772B"/>
    <w:rsid w:val="00897784"/>
    <w:rsid w:val="00897CA6"/>
    <w:rsid w:val="00897CB3"/>
    <w:rsid w:val="00897ED8"/>
    <w:rsid w:val="008A23BC"/>
    <w:rsid w:val="008A2626"/>
    <w:rsid w:val="008A27E4"/>
    <w:rsid w:val="008A2ED3"/>
    <w:rsid w:val="008A3769"/>
    <w:rsid w:val="008A3AF2"/>
    <w:rsid w:val="008A4350"/>
    <w:rsid w:val="008A4F7E"/>
    <w:rsid w:val="008A51D4"/>
    <w:rsid w:val="008A55AA"/>
    <w:rsid w:val="008A59A5"/>
    <w:rsid w:val="008A6AEF"/>
    <w:rsid w:val="008A710B"/>
    <w:rsid w:val="008B0725"/>
    <w:rsid w:val="008B11FE"/>
    <w:rsid w:val="008B143A"/>
    <w:rsid w:val="008B1A94"/>
    <w:rsid w:val="008B1BA4"/>
    <w:rsid w:val="008B1E36"/>
    <w:rsid w:val="008B20EF"/>
    <w:rsid w:val="008B23E0"/>
    <w:rsid w:val="008B2404"/>
    <w:rsid w:val="008B2427"/>
    <w:rsid w:val="008B2E65"/>
    <w:rsid w:val="008B369C"/>
    <w:rsid w:val="008B3CC7"/>
    <w:rsid w:val="008B5F43"/>
    <w:rsid w:val="008B6AD0"/>
    <w:rsid w:val="008B7076"/>
    <w:rsid w:val="008B707A"/>
    <w:rsid w:val="008C1323"/>
    <w:rsid w:val="008C1515"/>
    <w:rsid w:val="008C1A72"/>
    <w:rsid w:val="008C27DF"/>
    <w:rsid w:val="008C3279"/>
    <w:rsid w:val="008C5085"/>
    <w:rsid w:val="008C595A"/>
    <w:rsid w:val="008C5A28"/>
    <w:rsid w:val="008C62FF"/>
    <w:rsid w:val="008C63E8"/>
    <w:rsid w:val="008D0769"/>
    <w:rsid w:val="008D14DC"/>
    <w:rsid w:val="008D1CC9"/>
    <w:rsid w:val="008D1DDC"/>
    <w:rsid w:val="008D1F3F"/>
    <w:rsid w:val="008D2AB3"/>
    <w:rsid w:val="008D2B8E"/>
    <w:rsid w:val="008D2EFD"/>
    <w:rsid w:val="008D2F50"/>
    <w:rsid w:val="008D3E4F"/>
    <w:rsid w:val="008D49B1"/>
    <w:rsid w:val="008D4AD2"/>
    <w:rsid w:val="008D4B04"/>
    <w:rsid w:val="008D4B0D"/>
    <w:rsid w:val="008D4C3D"/>
    <w:rsid w:val="008D5025"/>
    <w:rsid w:val="008D5157"/>
    <w:rsid w:val="008D5204"/>
    <w:rsid w:val="008D56D4"/>
    <w:rsid w:val="008D5741"/>
    <w:rsid w:val="008D5E98"/>
    <w:rsid w:val="008D5F18"/>
    <w:rsid w:val="008D710B"/>
    <w:rsid w:val="008D7276"/>
    <w:rsid w:val="008D7625"/>
    <w:rsid w:val="008D7D18"/>
    <w:rsid w:val="008D7DC6"/>
    <w:rsid w:val="008E08D7"/>
    <w:rsid w:val="008E171A"/>
    <w:rsid w:val="008E2517"/>
    <w:rsid w:val="008E3003"/>
    <w:rsid w:val="008E42D8"/>
    <w:rsid w:val="008E5026"/>
    <w:rsid w:val="008E509A"/>
    <w:rsid w:val="008E5D0D"/>
    <w:rsid w:val="008E69CA"/>
    <w:rsid w:val="008E6E32"/>
    <w:rsid w:val="008E6EE8"/>
    <w:rsid w:val="008E6FD3"/>
    <w:rsid w:val="008E7307"/>
    <w:rsid w:val="008E7431"/>
    <w:rsid w:val="008E7515"/>
    <w:rsid w:val="008E7F5A"/>
    <w:rsid w:val="008F004D"/>
    <w:rsid w:val="008F1463"/>
    <w:rsid w:val="008F1626"/>
    <w:rsid w:val="008F176A"/>
    <w:rsid w:val="008F19FB"/>
    <w:rsid w:val="008F1D05"/>
    <w:rsid w:val="008F1EF6"/>
    <w:rsid w:val="008F29A0"/>
    <w:rsid w:val="008F39D2"/>
    <w:rsid w:val="008F3A17"/>
    <w:rsid w:val="008F3B44"/>
    <w:rsid w:val="008F3B79"/>
    <w:rsid w:val="008F3D02"/>
    <w:rsid w:val="008F4030"/>
    <w:rsid w:val="008F4222"/>
    <w:rsid w:val="008F4C00"/>
    <w:rsid w:val="008F523E"/>
    <w:rsid w:val="008F5B09"/>
    <w:rsid w:val="008F5F13"/>
    <w:rsid w:val="008F603F"/>
    <w:rsid w:val="008F61C4"/>
    <w:rsid w:val="008F68B4"/>
    <w:rsid w:val="008F71CC"/>
    <w:rsid w:val="008F73F2"/>
    <w:rsid w:val="008F75B8"/>
    <w:rsid w:val="008F779C"/>
    <w:rsid w:val="00900726"/>
    <w:rsid w:val="00900972"/>
    <w:rsid w:val="0090109E"/>
    <w:rsid w:val="0090121E"/>
    <w:rsid w:val="00901D3E"/>
    <w:rsid w:val="00901E30"/>
    <w:rsid w:val="00902004"/>
    <w:rsid w:val="00902265"/>
    <w:rsid w:val="0090338B"/>
    <w:rsid w:val="009043D6"/>
    <w:rsid w:val="009044B9"/>
    <w:rsid w:val="009045B3"/>
    <w:rsid w:val="0090469E"/>
    <w:rsid w:val="009047AC"/>
    <w:rsid w:val="0090481D"/>
    <w:rsid w:val="00905284"/>
    <w:rsid w:val="009056B2"/>
    <w:rsid w:val="00905C4B"/>
    <w:rsid w:val="009061A5"/>
    <w:rsid w:val="009067BA"/>
    <w:rsid w:val="00906931"/>
    <w:rsid w:val="00907684"/>
    <w:rsid w:val="00907E41"/>
    <w:rsid w:val="00910A60"/>
    <w:rsid w:val="00910F82"/>
    <w:rsid w:val="00911E06"/>
    <w:rsid w:val="00911F06"/>
    <w:rsid w:val="00912B3D"/>
    <w:rsid w:val="00912E6D"/>
    <w:rsid w:val="0091308C"/>
    <w:rsid w:val="009130F6"/>
    <w:rsid w:val="00913241"/>
    <w:rsid w:val="00913557"/>
    <w:rsid w:val="00913B0A"/>
    <w:rsid w:val="0091443D"/>
    <w:rsid w:val="00914BA3"/>
    <w:rsid w:val="0091617F"/>
    <w:rsid w:val="00916263"/>
    <w:rsid w:val="0091666F"/>
    <w:rsid w:val="00916CBB"/>
    <w:rsid w:val="009177E6"/>
    <w:rsid w:val="00920CBF"/>
    <w:rsid w:val="0092102A"/>
    <w:rsid w:val="0092142E"/>
    <w:rsid w:val="00921A96"/>
    <w:rsid w:val="0092257A"/>
    <w:rsid w:val="00922F0D"/>
    <w:rsid w:val="00923167"/>
    <w:rsid w:val="009232B6"/>
    <w:rsid w:val="0092395D"/>
    <w:rsid w:val="009239BC"/>
    <w:rsid w:val="00923CDB"/>
    <w:rsid w:val="00923F1C"/>
    <w:rsid w:val="00924FCA"/>
    <w:rsid w:val="009250D9"/>
    <w:rsid w:val="00925604"/>
    <w:rsid w:val="00926044"/>
    <w:rsid w:val="00926186"/>
    <w:rsid w:val="009262B7"/>
    <w:rsid w:val="009264B4"/>
    <w:rsid w:val="00926EE9"/>
    <w:rsid w:val="00926FE9"/>
    <w:rsid w:val="00927582"/>
    <w:rsid w:val="009275E5"/>
    <w:rsid w:val="00927811"/>
    <w:rsid w:val="009306F1"/>
    <w:rsid w:val="00931090"/>
    <w:rsid w:val="0093117D"/>
    <w:rsid w:val="00933956"/>
    <w:rsid w:val="00933B70"/>
    <w:rsid w:val="00933C4E"/>
    <w:rsid w:val="00933D99"/>
    <w:rsid w:val="009348A5"/>
    <w:rsid w:val="0093504B"/>
    <w:rsid w:val="00935283"/>
    <w:rsid w:val="009354FD"/>
    <w:rsid w:val="00935E74"/>
    <w:rsid w:val="00935FA1"/>
    <w:rsid w:val="0093639E"/>
    <w:rsid w:val="00936F62"/>
    <w:rsid w:val="00937020"/>
    <w:rsid w:val="0094060F"/>
    <w:rsid w:val="00940662"/>
    <w:rsid w:val="00940686"/>
    <w:rsid w:val="00940A10"/>
    <w:rsid w:val="0094141D"/>
    <w:rsid w:val="00941E36"/>
    <w:rsid w:val="00942CE0"/>
    <w:rsid w:val="00942E37"/>
    <w:rsid w:val="0094311A"/>
    <w:rsid w:val="009434F0"/>
    <w:rsid w:val="00943905"/>
    <w:rsid w:val="00943B88"/>
    <w:rsid w:val="00944122"/>
    <w:rsid w:val="009449BD"/>
    <w:rsid w:val="00944B20"/>
    <w:rsid w:val="00945136"/>
    <w:rsid w:val="0094590B"/>
    <w:rsid w:val="00945FCD"/>
    <w:rsid w:val="00945FE6"/>
    <w:rsid w:val="0094631C"/>
    <w:rsid w:val="00946806"/>
    <w:rsid w:val="00946E4B"/>
    <w:rsid w:val="0094748D"/>
    <w:rsid w:val="00950233"/>
    <w:rsid w:val="0095033A"/>
    <w:rsid w:val="00950407"/>
    <w:rsid w:val="00950AB6"/>
    <w:rsid w:val="00950AD4"/>
    <w:rsid w:val="00951429"/>
    <w:rsid w:val="009519D7"/>
    <w:rsid w:val="00951AE2"/>
    <w:rsid w:val="00951CE3"/>
    <w:rsid w:val="00951F86"/>
    <w:rsid w:val="0095221D"/>
    <w:rsid w:val="009522B0"/>
    <w:rsid w:val="009525D2"/>
    <w:rsid w:val="00952616"/>
    <w:rsid w:val="00952D09"/>
    <w:rsid w:val="00953942"/>
    <w:rsid w:val="00953A4C"/>
    <w:rsid w:val="009544F0"/>
    <w:rsid w:val="00954C0D"/>
    <w:rsid w:val="00955BF7"/>
    <w:rsid w:val="00955E09"/>
    <w:rsid w:val="00956972"/>
    <w:rsid w:val="00957075"/>
    <w:rsid w:val="00957386"/>
    <w:rsid w:val="00957AA3"/>
    <w:rsid w:val="0096027A"/>
    <w:rsid w:val="00960613"/>
    <w:rsid w:val="00960921"/>
    <w:rsid w:val="00960F9F"/>
    <w:rsid w:val="0096191B"/>
    <w:rsid w:val="009624FC"/>
    <w:rsid w:val="009625BF"/>
    <w:rsid w:val="009634B2"/>
    <w:rsid w:val="00963A2C"/>
    <w:rsid w:val="00963A7D"/>
    <w:rsid w:val="00963E33"/>
    <w:rsid w:val="00964167"/>
    <w:rsid w:val="00964BA1"/>
    <w:rsid w:val="009652C8"/>
    <w:rsid w:val="0096642A"/>
    <w:rsid w:val="009668AE"/>
    <w:rsid w:val="009668B5"/>
    <w:rsid w:val="00966C86"/>
    <w:rsid w:val="009674AB"/>
    <w:rsid w:val="00967576"/>
    <w:rsid w:val="00967F4D"/>
    <w:rsid w:val="00970115"/>
    <w:rsid w:val="009704A7"/>
    <w:rsid w:val="00970676"/>
    <w:rsid w:val="00970AD9"/>
    <w:rsid w:val="00971755"/>
    <w:rsid w:val="00971C43"/>
    <w:rsid w:val="0097264F"/>
    <w:rsid w:val="00972AD2"/>
    <w:rsid w:val="00972C67"/>
    <w:rsid w:val="00974168"/>
    <w:rsid w:val="009747F0"/>
    <w:rsid w:val="00974804"/>
    <w:rsid w:val="009752BC"/>
    <w:rsid w:val="00975412"/>
    <w:rsid w:val="0097566A"/>
    <w:rsid w:val="00975DB1"/>
    <w:rsid w:val="00976325"/>
    <w:rsid w:val="00976402"/>
    <w:rsid w:val="00976637"/>
    <w:rsid w:val="009768C3"/>
    <w:rsid w:val="009775D9"/>
    <w:rsid w:val="00977B1D"/>
    <w:rsid w:val="009805BE"/>
    <w:rsid w:val="0098072B"/>
    <w:rsid w:val="00980F59"/>
    <w:rsid w:val="00982D67"/>
    <w:rsid w:val="00982E8B"/>
    <w:rsid w:val="0098361B"/>
    <w:rsid w:val="009843D7"/>
    <w:rsid w:val="009844AC"/>
    <w:rsid w:val="00984C93"/>
    <w:rsid w:val="009853CB"/>
    <w:rsid w:val="00985793"/>
    <w:rsid w:val="00985E48"/>
    <w:rsid w:val="00986BC1"/>
    <w:rsid w:val="00986BF9"/>
    <w:rsid w:val="00987673"/>
    <w:rsid w:val="009879C0"/>
    <w:rsid w:val="009879DC"/>
    <w:rsid w:val="009911B9"/>
    <w:rsid w:val="0099137D"/>
    <w:rsid w:val="0099283B"/>
    <w:rsid w:val="00992C77"/>
    <w:rsid w:val="00994166"/>
    <w:rsid w:val="009942A1"/>
    <w:rsid w:val="009946E4"/>
    <w:rsid w:val="00994936"/>
    <w:rsid w:val="009957FB"/>
    <w:rsid w:val="009958B5"/>
    <w:rsid w:val="00995958"/>
    <w:rsid w:val="009959F0"/>
    <w:rsid w:val="00995FA1"/>
    <w:rsid w:val="009965C7"/>
    <w:rsid w:val="009968D3"/>
    <w:rsid w:val="00996BD6"/>
    <w:rsid w:val="00996D5C"/>
    <w:rsid w:val="009972D9"/>
    <w:rsid w:val="0099735A"/>
    <w:rsid w:val="009975C3"/>
    <w:rsid w:val="00997859"/>
    <w:rsid w:val="009978C8"/>
    <w:rsid w:val="00997DB9"/>
    <w:rsid w:val="009A062A"/>
    <w:rsid w:val="009A07EE"/>
    <w:rsid w:val="009A09C3"/>
    <w:rsid w:val="009A0A20"/>
    <w:rsid w:val="009A1F59"/>
    <w:rsid w:val="009A22C9"/>
    <w:rsid w:val="009A2C61"/>
    <w:rsid w:val="009A3ACC"/>
    <w:rsid w:val="009A3D66"/>
    <w:rsid w:val="009A415A"/>
    <w:rsid w:val="009A4390"/>
    <w:rsid w:val="009A4AE0"/>
    <w:rsid w:val="009A50FD"/>
    <w:rsid w:val="009A54C1"/>
    <w:rsid w:val="009A5500"/>
    <w:rsid w:val="009A6C24"/>
    <w:rsid w:val="009A6D80"/>
    <w:rsid w:val="009A7146"/>
    <w:rsid w:val="009A76DD"/>
    <w:rsid w:val="009A7CBF"/>
    <w:rsid w:val="009B012F"/>
    <w:rsid w:val="009B0440"/>
    <w:rsid w:val="009B0C0B"/>
    <w:rsid w:val="009B0EE4"/>
    <w:rsid w:val="009B1D04"/>
    <w:rsid w:val="009B212B"/>
    <w:rsid w:val="009B29A0"/>
    <w:rsid w:val="009B2C7D"/>
    <w:rsid w:val="009B3983"/>
    <w:rsid w:val="009B3A4A"/>
    <w:rsid w:val="009B3DB8"/>
    <w:rsid w:val="009B4048"/>
    <w:rsid w:val="009B45E5"/>
    <w:rsid w:val="009B51D5"/>
    <w:rsid w:val="009B5DE0"/>
    <w:rsid w:val="009B5F08"/>
    <w:rsid w:val="009B63F0"/>
    <w:rsid w:val="009B6C14"/>
    <w:rsid w:val="009B6F67"/>
    <w:rsid w:val="009B7083"/>
    <w:rsid w:val="009B70D0"/>
    <w:rsid w:val="009B71E8"/>
    <w:rsid w:val="009B7348"/>
    <w:rsid w:val="009C05B4"/>
    <w:rsid w:val="009C0B5B"/>
    <w:rsid w:val="009C0BD1"/>
    <w:rsid w:val="009C0FB3"/>
    <w:rsid w:val="009C2627"/>
    <w:rsid w:val="009C2649"/>
    <w:rsid w:val="009C291C"/>
    <w:rsid w:val="009C3860"/>
    <w:rsid w:val="009C3A1B"/>
    <w:rsid w:val="009C4480"/>
    <w:rsid w:val="009C5B65"/>
    <w:rsid w:val="009C616E"/>
    <w:rsid w:val="009C673E"/>
    <w:rsid w:val="009C75B2"/>
    <w:rsid w:val="009D0720"/>
    <w:rsid w:val="009D09AB"/>
    <w:rsid w:val="009D0FAC"/>
    <w:rsid w:val="009D10E1"/>
    <w:rsid w:val="009D13B0"/>
    <w:rsid w:val="009D16AB"/>
    <w:rsid w:val="009D175B"/>
    <w:rsid w:val="009D1797"/>
    <w:rsid w:val="009D1BAA"/>
    <w:rsid w:val="009D2CDC"/>
    <w:rsid w:val="009D30DC"/>
    <w:rsid w:val="009D3215"/>
    <w:rsid w:val="009D3506"/>
    <w:rsid w:val="009D492B"/>
    <w:rsid w:val="009D4CA5"/>
    <w:rsid w:val="009D4E39"/>
    <w:rsid w:val="009D5450"/>
    <w:rsid w:val="009D5DA2"/>
    <w:rsid w:val="009D65E2"/>
    <w:rsid w:val="009D7C5A"/>
    <w:rsid w:val="009D7CE8"/>
    <w:rsid w:val="009E015B"/>
    <w:rsid w:val="009E0684"/>
    <w:rsid w:val="009E131C"/>
    <w:rsid w:val="009E1757"/>
    <w:rsid w:val="009E1828"/>
    <w:rsid w:val="009E1ACD"/>
    <w:rsid w:val="009E2047"/>
    <w:rsid w:val="009E20EB"/>
    <w:rsid w:val="009E2BE5"/>
    <w:rsid w:val="009E3582"/>
    <w:rsid w:val="009E3A5B"/>
    <w:rsid w:val="009E44C2"/>
    <w:rsid w:val="009E4521"/>
    <w:rsid w:val="009E460E"/>
    <w:rsid w:val="009E461C"/>
    <w:rsid w:val="009E4C8B"/>
    <w:rsid w:val="009E5639"/>
    <w:rsid w:val="009E56EB"/>
    <w:rsid w:val="009E7640"/>
    <w:rsid w:val="009E7843"/>
    <w:rsid w:val="009F0213"/>
    <w:rsid w:val="009F07D7"/>
    <w:rsid w:val="009F1D94"/>
    <w:rsid w:val="009F22A2"/>
    <w:rsid w:val="009F2431"/>
    <w:rsid w:val="009F2838"/>
    <w:rsid w:val="009F3E7B"/>
    <w:rsid w:val="009F4CBC"/>
    <w:rsid w:val="009F4CE1"/>
    <w:rsid w:val="009F56E7"/>
    <w:rsid w:val="009F5DC9"/>
    <w:rsid w:val="009F66F8"/>
    <w:rsid w:val="009F722F"/>
    <w:rsid w:val="009F7555"/>
    <w:rsid w:val="009F771D"/>
    <w:rsid w:val="009F7741"/>
    <w:rsid w:val="009F7AAF"/>
    <w:rsid w:val="00A0004F"/>
    <w:rsid w:val="00A003B2"/>
    <w:rsid w:val="00A00AEB"/>
    <w:rsid w:val="00A00BD1"/>
    <w:rsid w:val="00A0145A"/>
    <w:rsid w:val="00A016FB"/>
    <w:rsid w:val="00A02A91"/>
    <w:rsid w:val="00A02C2F"/>
    <w:rsid w:val="00A02C55"/>
    <w:rsid w:val="00A033B0"/>
    <w:rsid w:val="00A038F8"/>
    <w:rsid w:val="00A039B8"/>
    <w:rsid w:val="00A03DC2"/>
    <w:rsid w:val="00A04509"/>
    <w:rsid w:val="00A045EA"/>
    <w:rsid w:val="00A04AAF"/>
    <w:rsid w:val="00A06152"/>
    <w:rsid w:val="00A06C16"/>
    <w:rsid w:val="00A077FC"/>
    <w:rsid w:val="00A07D31"/>
    <w:rsid w:val="00A10A42"/>
    <w:rsid w:val="00A10A7C"/>
    <w:rsid w:val="00A110A6"/>
    <w:rsid w:val="00A112DE"/>
    <w:rsid w:val="00A11412"/>
    <w:rsid w:val="00A12110"/>
    <w:rsid w:val="00A138D9"/>
    <w:rsid w:val="00A13A57"/>
    <w:rsid w:val="00A13EC2"/>
    <w:rsid w:val="00A14635"/>
    <w:rsid w:val="00A1503C"/>
    <w:rsid w:val="00A151A2"/>
    <w:rsid w:val="00A15A63"/>
    <w:rsid w:val="00A15ED3"/>
    <w:rsid w:val="00A16012"/>
    <w:rsid w:val="00A1674A"/>
    <w:rsid w:val="00A1680E"/>
    <w:rsid w:val="00A16AFD"/>
    <w:rsid w:val="00A16CA9"/>
    <w:rsid w:val="00A16ECB"/>
    <w:rsid w:val="00A1783C"/>
    <w:rsid w:val="00A203E4"/>
    <w:rsid w:val="00A204F4"/>
    <w:rsid w:val="00A207E6"/>
    <w:rsid w:val="00A20948"/>
    <w:rsid w:val="00A2184A"/>
    <w:rsid w:val="00A21F63"/>
    <w:rsid w:val="00A22972"/>
    <w:rsid w:val="00A22BC0"/>
    <w:rsid w:val="00A22D04"/>
    <w:rsid w:val="00A239D5"/>
    <w:rsid w:val="00A24359"/>
    <w:rsid w:val="00A24998"/>
    <w:rsid w:val="00A25652"/>
    <w:rsid w:val="00A25E0C"/>
    <w:rsid w:val="00A25EEC"/>
    <w:rsid w:val="00A265AA"/>
    <w:rsid w:val="00A26A87"/>
    <w:rsid w:val="00A26D5E"/>
    <w:rsid w:val="00A3005B"/>
    <w:rsid w:val="00A3132F"/>
    <w:rsid w:val="00A31A7A"/>
    <w:rsid w:val="00A31DC7"/>
    <w:rsid w:val="00A32056"/>
    <w:rsid w:val="00A3242D"/>
    <w:rsid w:val="00A32BFA"/>
    <w:rsid w:val="00A32C98"/>
    <w:rsid w:val="00A334C9"/>
    <w:rsid w:val="00A335DA"/>
    <w:rsid w:val="00A33928"/>
    <w:rsid w:val="00A347D2"/>
    <w:rsid w:val="00A35780"/>
    <w:rsid w:val="00A3583D"/>
    <w:rsid w:val="00A35893"/>
    <w:rsid w:val="00A35F41"/>
    <w:rsid w:val="00A36141"/>
    <w:rsid w:val="00A3625C"/>
    <w:rsid w:val="00A365BC"/>
    <w:rsid w:val="00A36CD6"/>
    <w:rsid w:val="00A36DC1"/>
    <w:rsid w:val="00A36EED"/>
    <w:rsid w:val="00A37096"/>
    <w:rsid w:val="00A3759D"/>
    <w:rsid w:val="00A3765C"/>
    <w:rsid w:val="00A37BC0"/>
    <w:rsid w:val="00A41276"/>
    <w:rsid w:val="00A42535"/>
    <w:rsid w:val="00A42FBC"/>
    <w:rsid w:val="00A432EF"/>
    <w:rsid w:val="00A43C4F"/>
    <w:rsid w:val="00A43E97"/>
    <w:rsid w:val="00A4407F"/>
    <w:rsid w:val="00A44268"/>
    <w:rsid w:val="00A44E15"/>
    <w:rsid w:val="00A45117"/>
    <w:rsid w:val="00A453B5"/>
    <w:rsid w:val="00A45941"/>
    <w:rsid w:val="00A45973"/>
    <w:rsid w:val="00A45C76"/>
    <w:rsid w:val="00A45DD7"/>
    <w:rsid w:val="00A45E1D"/>
    <w:rsid w:val="00A45F07"/>
    <w:rsid w:val="00A4625E"/>
    <w:rsid w:val="00A46B17"/>
    <w:rsid w:val="00A47BE4"/>
    <w:rsid w:val="00A47C9B"/>
    <w:rsid w:val="00A5027E"/>
    <w:rsid w:val="00A504B2"/>
    <w:rsid w:val="00A50C10"/>
    <w:rsid w:val="00A5147C"/>
    <w:rsid w:val="00A5149F"/>
    <w:rsid w:val="00A51B40"/>
    <w:rsid w:val="00A51E89"/>
    <w:rsid w:val="00A523D5"/>
    <w:rsid w:val="00A52BF7"/>
    <w:rsid w:val="00A535A6"/>
    <w:rsid w:val="00A53DC7"/>
    <w:rsid w:val="00A53F73"/>
    <w:rsid w:val="00A546E0"/>
    <w:rsid w:val="00A54702"/>
    <w:rsid w:val="00A54DBC"/>
    <w:rsid w:val="00A55977"/>
    <w:rsid w:val="00A56506"/>
    <w:rsid w:val="00A56593"/>
    <w:rsid w:val="00A56651"/>
    <w:rsid w:val="00A57075"/>
    <w:rsid w:val="00A57826"/>
    <w:rsid w:val="00A60458"/>
    <w:rsid w:val="00A605C7"/>
    <w:rsid w:val="00A60A0F"/>
    <w:rsid w:val="00A60D63"/>
    <w:rsid w:val="00A60D71"/>
    <w:rsid w:val="00A62290"/>
    <w:rsid w:val="00A62F31"/>
    <w:rsid w:val="00A64037"/>
    <w:rsid w:val="00A64C59"/>
    <w:rsid w:val="00A64FFE"/>
    <w:rsid w:val="00A65075"/>
    <w:rsid w:val="00A65154"/>
    <w:rsid w:val="00A65384"/>
    <w:rsid w:val="00A65482"/>
    <w:rsid w:val="00A657BE"/>
    <w:rsid w:val="00A65CAD"/>
    <w:rsid w:val="00A66138"/>
    <w:rsid w:val="00A662E6"/>
    <w:rsid w:val="00A66B58"/>
    <w:rsid w:val="00A66DBB"/>
    <w:rsid w:val="00A67124"/>
    <w:rsid w:val="00A67D1E"/>
    <w:rsid w:val="00A70086"/>
    <w:rsid w:val="00A7042A"/>
    <w:rsid w:val="00A7045A"/>
    <w:rsid w:val="00A704C4"/>
    <w:rsid w:val="00A70761"/>
    <w:rsid w:val="00A70D0A"/>
    <w:rsid w:val="00A7133B"/>
    <w:rsid w:val="00A714A1"/>
    <w:rsid w:val="00A71943"/>
    <w:rsid w:val="00A719DA"/>
    <w:rsid w:val="00A73048"/>
    <w:rsid w:val="00A748F8"/>
    <w:rsid w:val="00A74F1E"/>
    <w:rsid w:val="00A75341"/>
    <w:rsid w:val="00A75BBC"/>
    <w:rsid w:val="00A75DA1"/>
    <w:rsid w:val="00A76D07"/>
    <w:rsid w:val="00A77F8E"/>
    <w:rsid w:val="00A800F0"/>
    <w:rsid w:val="00A804A9"/>
    <w:rsid w:val="00A80717"/>
    <w:rsid w:val="00A807F8"/>
    <w:rsid w:val="00A8188C"/>
    <w:rsid w:val="00A81F50"/>
    <w:rsid w:val="00A82B33"/>
    <w:rsid w:val="00A82D8E"/>
    <w:rsid w:val="00A84987"/>
    <w:rsid w:val="00A84AD5"/>
    <w:rsid w:val="00A85233"/>
    <w:rsid w:val="00A85AA6"/>
    <w:rsid w:val="00A85F4D"/>
    <w:rsid w:val="00A86BD9"/>
    <w:rsid w:val="00A879FD"/>
    <w:rsid w:val="00A87A08"/>
    <w:rsid w:val="00A87D7C"/>
    <w:rsid w:val="00A87FF3"/>
    <w:rsid w:val="00A90735"/>
    <w:rsid w:val="00A90B1D"/>
    <w:rsid w:val="00A90B62"/>
    <w:rsid w:val="00A90F7B"/>
    <w:rsid w:val="00A91176"/>
    <w:rsid w:val="00A91433"/>
    <w:rsid w:val="00A916BA"/>
    <w:rsid w:val="00A92440"/>
    <w:rsid w:val="00A927FC"/>
    <w:rsid w:val="00A929A0"/>
    <w:rsid w:val="00A930E3"/>
    <w:rsid w:val="00A93692"/>
    <w:rsid w:val="00A93C7B"/>
    <w:rsid w:val="00A942A8"/>
    <w:rsid w:val="00A95C70"/>
    <w:rsid w:val="00A961C1"/>
    <w:rsid w:val="00A96308"/>
    <w:rsid w:val="00A96508"/>
    <w:rsid w:val="00A9664D"/>
    <w:rsid w:val="00A96B51"/>
    <w:rsid w:val="00A97548"/>
    <w:rsid w:val="00A9758F"/>
    <w:rsid w:val="00AA001D"/>
    <w:rsid w:val="00AA08D8"/>
    <w:rsid w:val="00AA0CFB"/>
    <w:rsid w:val="00AA0F75"/>
    <w:rsid w:val="00AA1428"/>
    <w:rsid w:val="00AA1D5A"/>
    <w:rsid w:val="00AA2C30"/>
    <w:rsid w:val="00AA2E8E"/>
    <w:rsid w:val="00AA2EC3"/>
    <w:rsid w:val="00AA2ED7"/>
    <w:rsid w:val="00AA2FF6"/>
    <w:rsid w:val="00AA32E2"/>
    <w:rsid w:val="00AA3655"/>
    <w:rsid w:val="00AA36A3"/>
    <w:rsid w:val="00AA3D53"/>
    <w:rsid w:val="00AA4BBE"/>
    <w:rsid w:val="00AA4BCD"/>
    <w:rsid w:val="00AA573E"/>
    <w:rsid w:val="00AA5C55"/>
    <w:rsid w:val="00AA6699"/>
    <w:rsid w:val="00AA6AE6"/>
    <w:rsid w:val="00AA6D20"/>
    <w:rsid w:val="00AA731D"/>
    <w:rsid w:val="00AA7401"/>
    <w:rsid w:val="00AA77BA"/>
    <w:rsid w:val="00AA7C35"/>
    <w:rsid w:val="00AA7CDF"/>
    <w:rsid w:val="00AA7DE4"/>
    <w:rsid w:val="00AB0D3D"/>
    <w:rsid w:val="00AB18EA"/>
    <w:rsid w:val="00AB2D01"/>
    <w:rsid w:val="00AB3A65"/>
    <w:rsid w:val="00AB41CC"/>
    <w:rsid w:val="00AB43CC"/>
    <w:rsid w:val="00AB57BB"/>
    <w:rsid w:val="00AB5AC0"/>
    <w:rsid w:val="00AB61D5"/>
    <w:rsid w:val="00AB644C"/>
    <w:rsid w:val="00AB64E6"/>
    <w:rsid w:val="00AB6519"/>
    <w:rsid w:val="00AB688B"/>
    <w:rsid w:val="00AB6A17"/>
    <w:rsid w:val="00AB6DB7"/>
    <w:rsid w:val="00AB6E6F"/>
    <w:rsid w:val="00AB7916"/>
    <w:rsid w:val="00AC09E8"/>
    <w:rsid w:val="00AC10C5"/>
    <w:rsid w:val="00AC4213"/>
    <w:rsid w:val="00AC4637"/>
    <w:rsid w:val="00AC4919"/>
    <w:rsid w:val="00AC5B25"/>
    <w:rsid w:val="00AC5F69"/>
    <w:rsid w:val="00AC6EA9"/>
    <w:rsid w:val="00AC6EE7"/>
    <w:rsid w:val="00AC71DB"/>
    <w:rsid w:val="00AC749E"/>
    <w:rsid w:val="00AC7765"/>
    <w:rsid w:val="00AC798A"/>
    <w:rsid w:val="00AC7B6B"/>
    <w:rsid w:val="00AC7EFA"/>
    <w:rsid w:val="00AD0228"/>
    <w:rsid w:val="00AD02D2"/>
    <w:rsid w:val="00AD242D"/>
    <w:rsid w:val="00AD259A"/>
    <w:rsid w:val="00AD2A27"/>
    <w:rsid w:val="00AD316C"/>
    <w:rsid w:val="00AD374E"/>
    <w:rsid w:val="00AD3B48"/>
    <w:rsid w:val="00AD3C41"/>
    <w:rsid w:val="00AD4074"/>
    <w:rsid w:val="00AD4A6E"/>
    <w:rsid w:val="00AD558A"/>
    <w:rsid w:val="00AD650C"/>
    <w:rsid w:val="00AD6AC0"/>
    <w:rsid w:val="00AD738D"/>
    <w:rsid w:val="00AD74B8"/>
    <w:rsid w:val="00AD7D70"/>
    <w:rsid w:val="00AD7EE9"/>
    <w:rsid w:val="00AE0CA5"/>
    <w:rsid w:val="00AE1276"/>
    <w:rsid w:val="00AE15DA"/>
    <w:rsid w:val="00AE18A3"/>
    <w:rsid w:val="00AE194E"/>
    <w:rsid w:val="00AE1BE6"/>
    <w:rsid w:val="00AE1DFB"/>
    <w:rsid w:val="00AE1E1C"/>
    <w:rsid w:val="00AE2472"/>
    <w:rsid w:val="00AE24D6"/>
    <w:rsid w:val="00AE2766"/>
    <w:rsid w:val="00AE2B38"/>
    <w:rsid w:val="00AE2E54"/>
    <w:rsid w:val="00AE2F72"/>
    <w:rsid w:val="00AE3732"/>
    <w:rsid w:val="00AE3E58"/>
    <w:rsid w:val="00AE478C"/>
    <w:rsid w:val="00AE4AB5"/>
    <w:rsid w:val="00AE5263"/>
    <w:rsid w:val="00AE681B"/>
    <w:rsid w:val="00AE6B6C"/>
    <w:rsid w:val="00AE6BD1"/>
    <w:rsid w:val="00AE755A"/>
    <w:rsid w:val="00AF01D4"/>
    <w:rsid w:val="00AF1006"/>
    <w:rsid w:val="00AF11C5"/>
    <w:rsid w:val="00AF171E"/>
    <w:rsid w:val="00AF2DE0"/>
    <w:rsid w:val="00AF3843"/>
    <w:rsid w:val="00AF562D"/>
    <w:rsid w:val="00AF5E9F"/>
    <w:rsid w:val="00AF620D"/>
    <w:rsid w:val="00AF62AA"/>
    <w:rsid w:val="00AF696E"/>
    <w:rsid w:val="00AF6BDD"/>
    <w:rsid w:val="00AF6D44"/>
    <w:rsid w:val="00AF6EC6"/>
    <w:rsid w:val="00AF6F46"/>
    <w:rsid w:val="00AF700A"/>
    <w:rsid w:val="00AF710E"/>
    <w:rsid w:val="00AF7612"/>
    <w:rsid w:val="00AF7F6A"/>
    <w:rsid w:val="00B0035A"/>
    <w:rsid w:val="00B00EBF"/>
    <w:rsid w:val="00B0174E"/>
    <w:rsid w:val="00B02ADE"/>
    <w:rsid w:val="00B02CE7"/>
    <w:rsid w:val="00B03501"/>
    <w:rsid w:val="00B04572"/>
    <w:rsid w:val="00B045E9"/>
    <w:rsid w:val="00B05D02"/>
    <w:rsid w:val="00B0611B"/>
    <w:rsid w:val="00B062B4"/>
    <w:rsid w:val="00B06BD8"/>
    <w:rsid w:val="00B074B9"/>
    <w:rsid w:val="00B07704"/>
    <w:rsid w:val="00B07798"/>
    <w:rsid w:val="00B07911"/>
    <w:rsid w:val="00B07B89"/>
    <w:rsid w:val="00B108FF"/>
    <w:rsid w:val="00B1105F"/>
    <w:rsid w:val="00B118FD"/>
    <w:rsid w:val="00B11CDC"/>
    <w:rsid w:val="00B11DB8"/>
    <w:rsid w:val="00B121C6"/>
    <w:rsid w:val="00B137F0"/>
    <w:rsid w:val="00B13C0A"/>
    <w:rsid w:val="00B13CCB"/>
    <w:rsid w:val="00B148AF"/>
    <w:rsid w:val="00B14C3D"/>
    <w:rsid w:val="00B15430"/>
    <w:rsid w:val="00B15AEE"/>
    <w:rsid w:val="00B15F00"/>
    <w:rsid w:val="00B164E0"/>
    <w:rsid w:val="00B16C52"/>
    <w:rsid w:val="00B17011"/>
    <w:rsid w:val="00B172C5"/>
    <w:rsid w:val="00B178D8"/>
    <w:rsid w:val="00B17C2A"/>
    <w:rsid w:val="00B202DC"/>
    <w:rsid w:val="00B20B9F"/>
    <w:rsid w:val="00B21301"/>
    <w:rsid w:val="00B21F20"/>
    <w:rsid w:val="00B22802"/>
    <w:rsid w:val="00B2322E"/>
    <w:rsid w:val="00B23624"/>
    <w:rsid w:val="00B23FE5"/>
    <w:rsid w:val="00B25235"/>
    <w:rsid w:val="00B25CFD"/>
    <w:rsid w:val="00B25F01"/>
    <w:rsid w:val="00B26300"/>
    <w:rsid w:val="00B26687"/>
    <w:rsid w:val="00B26985"/>
    <w:rsid w:val="00B269E8"/>
    <w:rsid w:val="00B271E5"/>
    <w:rsid w:val="00B275AA"/>
    <w:rsid w:val="00B27BE3"/>
    <w:rsid w:val="00B301D3"/>
    <w:rsid w:val="00B3065C"/>
    <w:rsid w:val="00B3077C"/>
    <w:rsid w:val="00B311D3"/>
    <w:rsid w:val="00B3132E"/>
    <w:rsid w:val="00B31767"/>
    <w:rsid w:val="00B32036"/>
    <w:rsid w:val="00B3217A"/>
    <w:rsid w:val="00B32369"/>
    <w:rsid w:val="00B32EA8"/>
    <w:rsid w:val="00B33B17"/>
    <w:rsid w:val="00B34257"/>
    <w:rsid w:val="00B34695"/>
    <w:rsid w:val="00B34BE1"/>
    <w:rsid w:val="00B354B7"/>
    <w:rsid w:val="00B36857"/>
    <w:rsid w:val="00B36890"/>
    <w:rsid w:val="00B36C62"/>
    <w:rsid w:val="00B36DCF"/>
    <w:rsid w:val="00B36FC3"/>
    <w:rsid w:val="00B3711D"/>
    <w:rsid w:val="00B37716"/>
    <w:rsid w:val="00B37DA3"/>
    <w:rsid w:val="00B37F53"/>
    <w:rsid w:val="00B4083A"/>
    <w:rsid w:val="00B40AD3"/>
    <w:rsid w:val="00B40CD9"/>
    <w:rsid w:val="00B40D07"/>
    <w:rsid w:val="00B41ADA"/>
    <w:rsid w:val="00B41D0A"/>
    <w:rsid w:val="00B4202C"/>
    <w:rsid w:val="00B43019"/>
    <w:rsid w:val="00B4306A"/>
    <w:rsid w:val="00B433AD"/>
    <w:rsid w:val="00B4346A"/>
    <w:rsid w:val="00B43E21"/>
    <w:rsid w:val="00B43E80"/>
    <w:rsid w:val="00B443A7"/>
    <w:rsid w:val="00B443F2"/>
    <w:rsid w:val="00B4452E"/>
    <w:rsid w:val="00B44E3C"/>
    <w:rsid w:val="00B45699"/>
    <w:rsid w:val="00B46091"/>
    <w:rsid w:val="00B479F1"/>
    <w:rsid w:val="00B47BAD"/>
    <w:rsid w:val="00B5142B"/>
    <w:rsid w:val="00B51543"/>
    <w:rsid w:val="00B516C1"/>
    <w:rsid w:val="00B516FD"/>
    <w:rsid w:val="00B5224F"/>
    <w:rsid w:val="00B5240D"/>
    <w:rsid w:val="00B52C09"/>
    <w:rsid w:val="00B54054"/>
    <w:rsid w:val="00B5410C"/>
    <w:rsid w:val="00B5412B"/>
    <w:rsid w:val="00B55301"/>
    <w:rsid w:val="00B55C78"/>
    <w:rsid w:val="00B55DC0"/>
    <w:rsid w:val="00B55E1B"/>
    <w:rsid w:val="00B56E19"/>
    <w:rsid w:val="00B57066"/>
    <w:rsid w:val="00B5791C"/>
    <w:rsid w:val="00B579C4"/>
    <w:rsid w:val="00B57A69"/>
    <w:rsid w:val="00B6062F"/>
    <w:rsid w:val="00B60847"/>
    <w:rsid w:val="00B609C2"/>
    <w:rsid w:val="00B613BC"/>
    <w:rsid w:val="00B61620"/>
    <w:rsid w:val="00B62AC5"/>
    <w:rsid w:val="00B631E4"/>
    <w:rsid w:val="00B632B3"/>
    <w:rsid w:val="00B63770"/>
    <w:rsid w:val="00B63CC7"/>
    <w:rsid w:val="00B63F14"/>
    <w:rsid w:val="00B63FF4"/>
    <w:rsid w:val="00B64055"/>
    <w:rsid w:val="00B6422D"/>
    <w:rsid w:val="00B6447B"/>
    <w:rsid w:val="00B6473C"/>
    <w:rsid w:val="00B64F4A"/>
    <w:rsid w:val="00B64FE5"/>
    <w:rsid w:val="00B6508A"/>
    <w:rsid w:val="00B65C04"/>
    <w:rsid w:val="00B66222"/>
    <w:rsid w:val="00B663C9"/>
    <w:rsid w:val="00B66FF8"/>
    <w:rsid w:val="00B67969"/>
    <w:rsid w:val="00B67AA8"/>
    <w:rsid w:val="00B67E52"/>
    <w:rsid w:val="00B70522"/>
    <w:rsid w:val="00B70876"/>
    <w:rsid w:val="00B71452"/>
    <w:rsid w:val="00B71924"/>
    <w:rsid w:val="00B72CFE"/>
    <w:rsid w:val="00B73359"/>
    <w:rsid w:val="00B73721"/>
    <w:rsid w:val="00B73FE9"/>
    <w:rsid w:val="00B74061"/>
    <w:rsid w:val="00B7406C"/>
    <w:rsid w:val="00B74386"/>
    <w:rsid w:val="00B745FA"/>
    <w:rsid w:val="00B7461A"/>
    <w:rsid w:val="00B74CD0"/>
    <w:rsid w:val="00B74CE4"/>
    <w:rsid w:val="00B74D4A"/>
    <w:rsid w:val="00B75C3E"/>
    <w:rsid w:val="00B76237"/>
    <w:rsid w:val="00B76AAF"/>
    <w:rsid w:val="00B76DF3"/>
    <w:rsid w:val="00B77184"/>
    <w:rsid w:val="00B77551"/>
    <w:rsid w:val="00B7757D"/>
    <w:rsid w:val="00B775FD"/>
    <w:rsid w:val="00B805C1"/>
    <w:rsid w:val="00B81171"/>
    <w:rsid w:val="00B81411"/>
    <w:rsid w:val="00B82531"/>
    <w:rsid w:val="00B82DD5"/>
    <w:rsid w:val="00B82EE3"/>
    <w:rsid w:val="00B83FE0"/>
    <w:rsid w:val="00B84151"/>
    <w:rsid w:val="00B850F7"/>
    <w:rsid w:val="00B851EA"/>
    <w:rsid w:val="00B855AD"/>
    <w:rsid w:val="00B862AA"/>
    <w:rsid w:val="00B86468"/>
    <w:rsid w:val="00B8650F"/>
    <w:rsid w:val="00B8782B"/>
    <w:rsid w:val="00B903D7"/>
    <w:rsid w:val="00B90429"/>
    <w:rsid w:val="00B91B15"/>
    <w:rsid w:val="00B93821"/>
    <w:rsid w:val="00B94009"/>
    <w:rsid w:val="00B94782"/>
    <w:rsid w:val="00B94875"/>
    <w:rsid w:val="00B948AD"/>
    <w:rsid w:val="00B94CB8"/>
    <w:rsid w:val="00B95025"/>
    <w:rsid w:val="00B95058"/>
    <w:rsid w:val="00B95293"/>
    <w:rsid w:val="00B9599B"/>
    <w:rsid w:val="00B9632D"/>
    <w:rsid w:val="00B968D0"/>
    <w:rsid w:val="00B96B17"/>
    <w:rsid w:val="00B96C25"/>
    <w:rsid w:val="00B975FF"/>
    <w:rsid w:val="00B97E7E"/>
    <w:rsid w:val="00BA0078"/>
    <w:rsid w:val="00BA0592"/>
    <w:rsid w:val="00BA08CA"/>
    <w:rsid w:val="00BA127D"/>
    <w:rsid w:val="00BA1845"/>
    <w:rsid w:val="00BA2353"/>
    <w:rsid w:val="00BA2575"/>
    <w:rsid w:val="00BA3363"/>
    <w:rsid w:val="00BA3C93"/>
    <w:rsid w:val="00BA3DF2"/>
    <w:rsid w:val="00BA3EC9"/>
    <w:rsid w:val="00BA404C"/>
    <w:rsid w:val="00BA49AA"/>
    <w:rsid w:val="00BA4A19"/>
    <w:rsid w:val="00BA4EC7"/>
    <w:rsid w:val="00BA4F4F"/>
    <w:rsid w:val="00BA5638"/>
    <w:rsid w:val="00BA5734"/>
    <w:rsid w:val="00BA5DDD"/>
    <w:rsid w:val="00BA68A6"/>
    <w:rsid w:val="00BA6AF9"/>
    <w:rsid w:val="00BA6B37"/>
    <w:rsid w:val="00BA6BE3"/>
    <w:rsid w:val="00BA6D47"/>
    <w:rsid w:val="00BA6E3A"/>
    <w:rsid w:val="00BA710B"/>
    <w:rsid w:val="00BA74FA"/>
    <w:rsid w:val="00BA76F9"/>
    <w:rsid w:val="00BA7A79"/>
    <w:rsid w:val="00BB00E0"/>
    <w:rsid w:val="00BB0938"/>
    <w:rsid w:val="00BB0BAA"/>
    <w:rsid w:val="00BB156A"/>
    <w:rsid w:val="00BB235E"/>
    <w:rsid w:val="00BB2552"/>
    <w:rsid w:val="00BB2777"/>
    <w:rsid w:val="00BB2AD2"/>
    <w:rsid w:val="00BB2BEE"/>
    <w:rsid w:val="00BB2E91"/>
    <w:rsid w:val="00BB33A3"/>
    <w:rsid w:val="00BB3CA1"/>
    <w:rsid w:val="00BB480F"/>
    <w:rsid w:val="00BB4A21"/>
    <w:rsid w:val="00BB535A"/>
    <w:rsid w:val="00BB57DB"/>
    <w:rsid w:val="00BB5CE0"/>
    <w:rsid w:val="00BB672E"/>
    <w:rsid w:val="00BB681D"/>
    <w:rsid w:val="00BB6C12"/>
    <w:rsid w:val="00BB7395"/>
    <w:rsid w:val="00BB7A87"/>
    <w:rsid w:val="00BB7F9F"/>
    <w:rsid w:val="00BC0343"/>
    <w:rsid w:val="00BC0353"/>
    <w:rsid w:val="00BC0B97"/>
    <w:rsid w:val="00BC0CAB"/>
    <w:rsid w:val="00BC181E"/>
    <w:rsid w:val="00BC1AA9"/>
    <w:rsid w:val="00BC2130"/>
    <w:rsid w:val="00BC22F0"/>
    <w:rsid w:val="00BC245C"/>
    <w:rsid w:val="00BC334C"/>
    <w:rsid w:val="00BC3374"/>
    <w:rsid w:val="00BC344C"/>
    <w:rsid w:val="00BC3471"/>
    <w:rsid w:val="00BC359D"/>
    <w:rsid w:val="00BC386E"/>
    <w:rsid w:val="00BC42C7"/>
    <w:rsid w:val="00BC460B"/>
    <w:rsid w:val="00BC5E86"/>
    <w:rsid w:val="00BC617E"/>
    <w:rsid w:val="00BC6703"/>
    <w:rsid w:val="00BC6779"/>
    <w:rsid w:val="00BC67B4"/>
    <w:rsid w:val="00BC73C1"/>
    <w:rsid w:val="00BC7943"/>
    <w:rsid w:val="00BD0AA2"/>
    <w:rsid w:val="00BD168A"/>
    <w:rsid w:val="00BD181F"/>
    <w:rsid w:val="00BD3754"/>
    <w:rsid w:val="00BD41D1"/>
    <w:rsid w:val="00BD4688"/>
    <w:rsid w:val="00BD4D59"/>
    <w:rsid w:val="00BD4F1A"/>
    <w:rsid w:val="00BD551A"/>
    <w:rsid w:val="00BD574B"/>
    <w:rsid w:val="00BD6643"/>
    <w:rsid w:val="00BD67D9"/>
    <w:rsid w:val="00BD69EA"/>
    <w:rsid w:val="00BD6F31"/>
    <w:rsid w:val="00BD7A4A"/>
    <w:rsid w:val="00BE0471"/>
    <w:rsid w:val="00BE053A"/>
    <w:rsid w:val="00BE05AC"/>
    <w:rsid w:val="00BE0D2D"/>
    <w:rsid w:val="00BE0E24"/>
    <w:rsid w:val="00BE12A7"/>
    <w:rsid w:val="00BE26CD"/>
    <w:rsid w:val="00BE2BC7"/>
    <w:rsid w:val="00BE2D87"/>
    <w:rsid w:val="00BE3AB3"/>
    <w:rsid w:val="00BE4426"/>
    <w:rsid w:val="00BE513C"/>
    <w:rsid w:val="00BE693C"/>
    <w:rsid w:val="00BE72CD"/>
    <w:rsid w:val="00BE7933"/>
    <w:rsid w:val="00BF026A"/>
    <w:rsid w:val="00BF0738"/>
    <w:rsid w:val="00BF07CB"/>
    <w:rsid w:val="00BF0E09"/>
    <w:rsid w:val="00BF1402"/>
    <w:rsid w:val="00BF1B2F"/>
    <w:rsid w:val="00BF1D9D"/>
    <w:rsid w:val="00BF2044"/>
    <w:rsid w:val="00BF242F"/>
    <w:rsid w:val="00BF2679"/>
    <w:rsid w:val="00BF30B4"/>
    <w:rsid w:val="00BF3214"/>
    <w:rsid w:val="00BF34E1"/>
    <w:rsid w:val="00BF3ECA"/>
    <w:rsid w:val="00BF452A"/>
    <w:rsid w:val="00BF49D6"/>
    <w:rsid w:val="00BF4CC5"/>
    <w:rsid w:val="00BF5643"/>
    <w:rsid w:val="00BF5792"/>
    <w:rsid w:val="00BF5E35"/>
    <w:rsid w:val="00BF6AF2"/>
    <w:rsid w:val="00BF7AA2"/>
    <w:rsid w:val="00BF7C2C"/>
    <w:rsid w:val="00C001C4"/>
    <w:rsid w:val="00C0144A"/>
    <w:rsid w:val="00C014D8"/>
    <w:rsid w:val="00C0193C"/>
    <w:rsid w:val="00C01E2B"/>
    <w:rsid w:val="00C01EDA"/>
    <w:rsid w:val="00C02110"/>
    <w:rsid w:val="00C02786"/>
    <w:rsid w:val="00C02BA0"/>
    <w:rsid w:val="00C02E07"/>
    <w:rsid w:val="00C02F46"/>
    <w:rsid w:val="00C02F68"/>
    <w:rsid w:val="00C03434"/>
    <w:rsid w:val="00C0368C"/>
    <w:rsid w:val="00C03A8C"/>
    <w:rsid w:val="00C03AA6"/>
    <w:rsid w:val="00C04A3F"/>
    <w:rsid w:val="00C04AA7"/>
    <w:rsid w:val="00C05515"/>
    <w:rsid w:val="00C062FE"/>
    <w:rsid w:val="00C06B49"/>
    <w:rsid w:val="00C070E9"/>
    <w:rsid w:val="00C07C28"/>
    <w:rsid w:val="00C10168"/>
    <w:rsid w:val="00C10209"/>
    <w:rsid w:val="00C10837"/>
    <w:rsid w:val="00C10E8E"/>
    <w:rsid w:val="00C12ADD"/>
    <w:rsid w:val="00C13EF7"/>
    <w:rsid w:val="00C13EFD"/>
    <w:rsid w:val="00C142A3"/>
    <w:rsid w:val="00C15E0E"/>
    <w:rsid w:val="00C15ECC"/>
    <w:rsid w:val="00C15ED0"/>
    <w:rsid w:val="00C15EFA"/>
    <w:rsid w:val="00C16118"/>
    <w:rsid w:val="00C163EF"/>
    <w:rsid w:val="00C1681B"/>
    <w:rsid w:val="00C17162"/>
    <w:rsid w:val="00C1740D"/>
    <w:rsid w:val="00C17623"/>
    <w:rsid w:val="00C17B26"/>
    <w:rsid w:val="00C17FBD"/>
    <w:rsid w:val="00C209D4"/>
    <w:rsid w:val="00C21AEE"/>
    <w:rsid w:val="00C2261F"/>
    <w:rsid w:val="00C233C9"/>
    <w:rsid w:val="00C244B6"/>
    <w:rsid w:val="00C24981"/>
    <w:rsid w:val="00C24B21"/>
    <w:rsid w:val="00C25AA3"/>
    <w:rsid w:val="00C2664A"/>
    <w:rsid w:val="00C26A16"/>
    <w:rsid w:val="00C26C35"/>
    <w:rsid w:val="00C26D8A"/>
    <w:rsid w:val="00C26D8C"/>
    <w:rsid w:val="00C2766F"/>
    <w:rsid w:val="00C276CB"/>
    <w:rsid w:val="00C27E05"/>
    <w:rsid w:val="00C313B2"/>
    <w:rsid w:val="00C326F1"/>
    <w:rsid w:val="00C329AB"/>
    <w:rsid w:val="00C32F23"/>
    <w:rsid w:val="00C33906"/>
    <w:rsid w:val="00C341E9"/>
    <w:rsid w:val="00C35384"/>
    <w:rsid w:val="00C35C16"/>
    <w:rsid w:val="00C3617A"/>
    <w:rsid w:val="00C37539"/>
    <w:rsid w:val="00C3761A"/>
    <w:rsid w:val="00C37FCD"/>
    <w:rsid w:val="00C40150"/>
    <w:rsid w:val="00C40355"/>
    <w:rsid w:val="00C40803"/>
    <w:rsid w:val="00C4087A"/>
    <w:rsid w:val="00C40B75"/>
    <w:rsid w:val="00C40DDD"/>
    <w:rsid w:val="00C41815"/>
    <w:rsid w:val="00C41C6F"/>
    <w:rsid w:val="00C41E96"/>
    <w:rsid w:val="00C42036"/>
    <w:rsid w:val="00C4216C"/>
    <w:rsid w:val="00C42A1D"/>
    <w:rsid w:val="00C430A3"/>
    <w:rsid w:val="00C4399A"/>
    <w:rsid w:val="00C43FEC"/>
    <w:rsid w:val="00C44065"/>
    <w:rsid w:val="00C441F6"/>
    <w:rsid w:val="00C44606"/>
    <w:rsid w:val="00C45B04"/>
    <w:rsid w:val="00C45E11"/>
    <w:rsid w:val="00C45EFF"/>
    <w:rsid w:val="00C471A0"/>
    <w:rsid w:val="00C47E66"/>
    <w:rsid w:val="00C504AE"/>
    <w:rsid w:val="00C50BE9"/>
    <w:rsid w:val="00C50CB5"/>
    <w:rsid w:val="00C513F9"/>
    <w:rsid w:val="00C51ACE"/>
    <w:rsid w:val="00C51B39"/>
    <w:rsid w:val="00C52B32"/>
    <w:rsid w:val="00C53C96"/>
    <w:rsid w:val="00C554DD"/>
    <w:rsid w:val="00C5566F"/>
    <w:rsid w:val="00C55EB9"/>
    <w:rsid w:val="00C5628A"/>
    <w:rsid w:val="00C563B4"/>
    <w:rsid w:val="00C56E52"/>
    <w:rsid w:val="00C56F5A"/>
    <w:rsid w:val="00C57299"/>
    <w:rsid w:val="00C5772B"/>
    <w:rsid w:val="00C602DA"/>
    <w:rsid w:val="00C60BAB"/>
    <w:rsid w:val="00C60E51"/>
    <w:rsid w:val="00C623AE"/>
    <w:rsid w:val="00C6262C"/>
    <w:rsid w:val="00C626C2"/>
    <w:rsid w:val="00C62CE3"/>
    <w:rsid w:val="00C62E1E"/>
    <w:rsid w:val="00C633B8"/>
    <w:rsid w:val="00C634D0"/>
    <w:rsid w:val="00C63A14"/>
    <w:rsid w:val="00C63A94"/>
    <w:rsid w:val="00C648D7"/>
    <w:rsid w:val="00C64A42"/>
    <w:rsid w:val="00C64C10"/>
    <w:rsid w:val="00C64CA2"/>
    <w:rsid w:val="00C65265"/>
    <w:rsid w:val="00C65459"/>
    <w:rsid w:val="00C657BE"/>
    <w:rsid w:val="00C65AB8"/>
    <w:rsid w:val="00C660E5"/>
    <w:rsid w:val="00C6635A"/>
    <w:rsid w:val="00C667CC"/>
    <w:rsid w:val="00C66F61"/>
    <w:rsid w:val="00C67404"/>
    <w:rsid w:val="00C678F2"/>
    <w:rsid w:val="00C67A15"/>
    <w:rsid w:val="00C71048"/>
    <w:rsid w:val="00C71C3A"/>
    <w:rsid w:val="00C729D4"/>
    <w:rsid w:val="00C73113"/>
    <w:rsid w:val="00C73AEE"/>
    <w:rsid w:val="00C73B40"/>
    <w:rsid w:val="00C73D44"/>
    <w:rsid w:val="00C7418B"/>
    <w:rsid w:val="00C746C6"/>
    <w:rsid w:val="00C74C1E"/>
    <w:rsid w:val="00C7516B"/>
    <w:rsid w:val="00C751CA"/>
    <w:rsid w:val="00C75766"/>
    <w:rsid w:val="00C7635F"/>
    <w:rsid w:val="00C76FA0"/>
    <w:rsid w:val="00C77379"/>
    <w:rsid w:val="00C773B5"/>
    <w:rsid w:val="00C778EF"/>
    <w:rsid w:val="00C81771"/>
    <w:rsid w:val="00C81ECF"/>
    <w:rsid w:val="00C82CEE"/>
    <w:rsid w:val="00C82D3D"/>
    <w:rsid w:val="00C8378E"/>
    <w:rsid w:val="00C839DE"/>
    <w:rsid w:val="00C83F3C"/>
    <w:rsid w:val="00C843CB"/>
    <w:rsid w:val="00C84528"/>
    <w:rsid w:val="00C849E6"/>
    <w:rsid w:val="00C84E17"/>
    <w:rsid w:val="00C84EB6"/>
    <w:rsid w:val="00C8527C"/>
    <w:rsid w:val="00C8573F"/>
    <w:rsid w:val="00C85796"/>
    <w:rsid w:val="00C85B5E"/>
    <w:rsid w:val="00C85F3E"/>
    <w:rsid w:val="00C86C43"/>
    <w:rsid w:val="00C86DF4"/>
    <w:rsid w:val="00C87036"/>
    <w:rsid w:val="00C873A1"/>
    <w:rsid w:val="00C879A9"/>
    <w:rsid w:val="00C87D32"/>
    <w:rsid w:val="00C90507"/>
    <w:rsid w:val="00C90B6D"/>
    <w:rsid w:val="00C90D0F"/>
    <w:rsid w:val="00C9153F"/>
    <w:rsid w:val="00C9189A"/>
    <w:rsid w:val="00C91A1D"/>
    <w:rsid w:val="00C91E62"/>
    <w:rsid w:val="00C92113"/>
    <w:rsid w:val="00C924D4"/>
    <w:rsid w:val="00C92F2B"/>
    <w:rsid w:val="00C93133"/>
    <w:rsid w:val="00C93E8B"/>
    <w:rsid w:val="00C93EAE"/>
    <w:rsid w:val="00C9488B"/>
    <w:rsid w:val="00C94C75"/>
    <w:rsid w:val="00C95071"/>
    <w:rsid w:val="00C95163"/>
    <w:rsid w:val="00C953FD"/>
    <w:rsid w:val="00C959FD"/>
    <w:rsid w:val="00C95E4B"/>
    <w:rsid w:val="00C9765E"/>
    <w:rsid w:val="00CA0656"/>
    <w:rsid w:val="00CA0A62"/>
    <w:rsid w:val="00CA17FE"/>
    <w:rsid w:val="00CA20D8"/>
    <w:rsid w:val="00CA259E"/>
    <w:rsid w:val="00CA275F"/>
    <w:rsid w:val="00CA2D26"/>
    <w:rsid w:val="00CA31B9"/>
    <w:rsid w:val="00CA3AB1"/>
    <w:rsid w:val="00CA406D"/>
    <w:rsid w:val="00CA4172"/>
    <w:rsid w:val="00CA417F"/>
    <w:rsid w:val="00CA42FB"/>
    <w:rsid w:val="00CA52BC"/>
    <w:rsid w:val="00CA5516"/>
    <w:rsid w:val="00CA5DD5"/>
    <w:rsid w:val="00CA5FC1"/>
    <w:rsid w:val="00CA64B5"/>
    <w:rsid w:val="00CA76BB"/>
    <w:rsid w:val="00CA7B59"/>
    <w:rsid w:val="00CB0358"/>
    <w:rsid w:val="00CB0445"/>
    <w:rsid w:val="00CB056E"/>
    <w:rsid w:val="00CB0AAF"/>
    <w:rsid w:val="00CB0B99"/>
    <w:rsid w:val="00CB0D35"/>
    <w:rsid w:val="00CB1683"/>
    <w:rsid w:val="00CB1AE6"/>
    <w:rsid w:val="00CB21D5"/>
    <w:rsid w:val="00CB27D5"/>
    <w:rsid w:val="00CB2948"/>
    <w:rsid w:val="00CB2969"/>
    <w:rsid w:val="00CB320A"/>
    <w:rsid w:val="00CB3440"/>
    <w:rsid w:val="00CB365E"/>
    <w:rsid w:val="00CB36CE"/>
    <w:rsid w:val="00CB36E0"/>
    <w:rsid w:val="00CB3B1E"/>
    <w:rsid w:val="00CB3EE9"/>
    <w:rsid w:val="00CB44A9"/>
    <w:rsid w:val="00CB4F37"/>
    <w:rsid w:val="00CB4FBC"/>
    <w:rsid w:val="00CB543F"/>
    <w:rsid w:val="00CB58DE"/>
    <w:rsid w:val="00CB5ABD"/>
    <w:rsid w:val="00CB5FCA"/>
    <w:rsid w:val="00CB63F8"/>
    <w:rsid w:val="00CB69B3"/>
    <w:rsid w:val="00CB6AC4"/>
    <w:rsid w:val="00CB70F4"/>
    <w:rsid w:val="00CC00DE"/>
    <w:rsid w:val="00CC03FE"/>
    <w:rsid w:val="00CC054B"/>
    <w:rsid w:val="00CC1254"/>
    <w:rsid w:val="00CC1930"/>
    <w:rsid w:val="00CC1E71"/>
    <w:rsid w:val="00CC239C"/>
    <w:rsid w:val="00CC2608"/>
    <w:rsid w:val="00CC2682"/>
    <w:rsid w:val="00CC2A3E"/>
    <w:rsid w:val="00CC2C68"/>
    <w:rsid w:val="00CC3E90"/>
    <w:rsid w:val="00CC408A"/>
    <w:rsid w:val="00CC410D"/>
    <w:rsid w:val="00CC467E"/>
    <w:rsid w:val="00CC54BF"/>
    <w:rsid w:val="00CC567A"/>
    <w:rsid w:val="00CC5E4A"/>
    <w:rsid w:val="00CC6605"/>
    <w:rsid w:val="00CC7BAD"/>
    <w:rsid w:val="00CC7BDB"/>
    <w:rsid w:val="00CC7D78"/>
    <w:rsid w:val="00CD020F"/>
    <w:rsid w:val="00CD035A"/>
    <w:rsid w:val="00CD0798"/>
    <w:rsid w:val="00CD0A83"/>
    <w:rsid w:val="00CD14BD"/>
    <w:rsid w:val="00CD15B0"/>
    <w:rsid w:val="00CD2549"/>
    <w:rsid w:val="00CD2CE7"/>
    <w:rsid w:val="00CD3830"/>
    <w:rsid w:val="00CD4214"/>
    <w:rsid w:val="00CD44F2"/>
    <w:rsid w:val="00CD4625"/>
    <w:rsid w:val="00CD4976"/>
    <w:rsid w:val="00CD4EA0"/>
    <w:rsid w:val="00CD4F27"/>
    <w:rsid w:val="00CD5564"/>
    <w:rsid w:val="00CD5744"/>
    <w:rsid w:val="00CD7C15"/>
    <w:rsid w:val="00CE0474"/>
    <w:rsid w:val="00CE0631"/>
    <w:rsid w:val="00CE11D4"/>
    <w:rsid w:val="00CE1A01"/>
    <w:rsid w:val="00CE1C81"/>
    <w:rsid w:val="00CE20FB"/>
    <w:rsid w:val="00CE21D0"/>
    <w:rsid w:val="00CE22FF"/>
    <w:rsid w:val="00CE29AF"/>
    <w:rsid w:val="00CE2A82"/>
    <w:rsid w:val="00CE2D82"/>
    <w:rsid w:val="00CE2F0B"/>
    <w:rsid w:val="00CE31C9"/>
    <w:rsid w:val="00CE3842"/>
    <w:rsid w:val="00CE3F18"/>
    <w:rsid w:val="00CE41B4"/>
    <w:rsid w:val="00CE42E1"/>
    <w:rsid w:val="00CE5029"/>
    <w:rsid w:val="00CE54E1"/>
    <w:rsid w:val="00CE5A35"/>
    <w:rsid w:val="00CE5D8E"/>
    <w:rsid w:val="00CE61A0"/>
    <w:rsid w:val="00CE6337"/>
    <w:rsid w:val="00CE6A2F"/>
    <w:rsid w:val="00CE7402"/>
    <w:rsid w:val="00CF00F9"/>
    <w:rsid w:val="00CF04DE"/>
    <w:rsid w:val="00CF1B18"/>
    <w:rsid w:val="00CF1BD0"/>
    <w:rsid w:val="00CF1CA5"/>
    <w:rsid w:val="00CF1CDF"/>
    <w:rsid w:val="00CF1F78"/>
    <w:rsid w:val="00CF20FD"/>
    <w:rsid w:val="00CF2556"/>
    <w:rsid w:val="00CF26BD"/>
    <w:rsid w:val="00CF286B"/>
    <w:rsid w:val="00CF2952"/>
    <w:rsid w:val="00CF3115"/>
    <w:rsid w:val="00CF35A5"/>
    <w:rsid w:val="00CF40EC"/>
    <w:rsid w:val="00CF464F"/>
    <w:rsid w:val="00CF549F"/>
    <w:rsid w:val="00CF5B22"/>
    <w:rsid w:val="00CF5D0B"/>
    <w:rsid w:val="00CF61ED"/>
    <w:rsid w:val="00CF63FE"/>
    <w:rsid w:val="00CF6D3D"/>
    <w:rsid w:val="00CF7FA7"/>
    <w:rsid w:val="00D0044F"/>
    <w:rsid w:val="00D004DB"/>
    <w:rsid w:val="00D0097B"/>
    <w:rsid w:val="00D010DC"/>
    <w:rsid w:val="00D01129"/>
    <w:rsid w:val="00D011BC"/>
    <w:rsid w:val="00D01284"/>
    <w:rsid w:val="00D0179B"/>
    <w:rsid w:val="00D018BB"/>
    <w:rsid w:val="00D01BFE"/>
    <w:rsid w:val="00D023EA"/>
    <w:rsid w:val="00D0341E"/>
    <w:rsid w:val="00D03721"/>
    <w:rsid w:val="00D03926"/>
    <w:rsid w:val="00D039F9"/>
    <w:rsid w:val="00D044A6"/>
    <w:rsid w:val="00D04611"/>
    <w:rsid w:val="00D05585"/>
    <w:rsid w:val="00D057F9"/>
    <w:rsid w:val="00D05CB0"/>
    <w:rsid w:val="00D062EA"/>
    <w:rsid w:val="00D065D4"/>
    <w:rsid w:val="00D0690A"/>
    <w:rsid w:val="00D06A2E"/>
    <w:rsid w:val="00D072F0"/>
    <w:rsid w:val="00D07456"/>
    <w:rsid w:val="00D07613"/>
    <w:rsid w:val="00D0766B"/>
    <w:rsid w:val="00D07E43"/>
    <w:rsid w:val="00D07E75"/>
    <w:rsid w:val="00D104A7"/>
    <w:rsid w:val="00D10D1C"/>
    <w:rsid w:val="00D1131A"/>
    <w:rsid w:val="00D117B2"/>
    <w:rsid w:val="00D11897"/>
    <w:rsid w:val="00D11B6F"/>
    <w:rsid w:val="00D1262D"/>
    <w:rsid w:val="00D12A43"/>
    <w:rsid w:val="00D134B6"/>
    <w:rsid w:val="00D13BFA"/>
    <w:rsid w:val="00D14000"/>
    <w:rsid w:val="00D14E0B"/>
    <w:rsid w:val="00D15015"/>
    <w:rsid w:val="00D154A0"/>
    <w:rsid w:val="00D161DD"/>
    <w:rsid w:val="00D1644E"/>
    <w:rsid w:val="00D16F1D"/>
    <w:rsid w:val="00D201E1"/>
    <w:rsid w:val="00D2047E"/>
    <w:rsid w:val="00D20644"/>
    <w:rsid w:val="00D209A9"/>
    <w:rsid w:val="00D20C08"/>
    <w:rsid w:val="00D20F01"/>
    <w:rsid w:val="00D213D7"/>
    <w:rsid w:val="00D22525"/>
    <w:rsid w:val="00D22AF8"/>
    <w:rsid w:val="00D22D7A"/>
    <w:rsid w:val="00D2324F"/>
    <w:rsid w:val="00D232BF"/>
    <w:rsid w:val="00D244FD"/>
    <w:rsid w:val="00D247E9"/>
    <w:rsid w:val="00D24FCB"/>
    <w:rsid w:val="00D252F6"/>
    <w:rsid w:val="00D254FB"/>
    <w:rsid w:val="00D26346"/>
    <w:rsid w:val="00D26547"/>
    <w:rsid w:val="00D2659B"/>
    <w:rsid w:val="00D26742"/>
    <w:rsid w:val="00D26C65"/>
    <w:rsid w:val="00D27366"/>
    <w:rsid w:val="00D273F0"/>
    <w:rsid w:val="00D27790"/>
    <w:rsid w:val="00D277C4"/>
    <w:rsid w:val="00D305AD"/>
    <w:rsid w:val="00D308C1"/>
    <w:rsid w:val="00D30BA4"/>
    <w:rsid w:val="00D30F3E"/>
    <w:rsid w:val="00D326AF"/>
    <w:rsid w:val="00D3350E"/>
    <w:rsid w:val="00D3362F"/>
    <w:rsid w:val="00D338D3"/>
    <w:rsid w:val="00D347DC"/>
    <w:rsid w:val="00D34DF9"/>
    <w:rsid w:val="00D34EFE"/>
    <w:rsid w:val="00D35E4A"/>
    <w:rsid w:val="00D36529"/>
    <w:rsid w:val="00D369FF"/>
    <w:rsid w:val="00D375C2"/>
    <w:rsid w:val="00D37CED"/>
    <w:rsid w:val="00D37F07"/>
    <w:rsid w:val="00D40045"/>
    <w:rsid w:val="00D402BE"/>
    <w:rsid w:val="00D406EB"/>
    <w:rsid w:val="00D41233"/>
    <w:rsid w:val="00D41744"/>
    <w:rsid w:val="00D417EA"/>
    <w:rsid w:val="00D41AB0"/>
    <w:rsid w:val="00D420A4"/>
    <w:rsid w:val="00D42AE1"/>
    <w:rsid w:val="00D4311F"/>
    <w:rsid w:val="00D445FE"/>
    <w:rsid w:val="00D44A4C"/>
    <w:rsid w:val="00D45044"/>
    <w:rsid w:val="00D46398"/>
    <w:rsid w:val="00D46404"/>
    <w:rsid w:val="00D46A6B"/>
    <w:rsid w:val="00D470DE"/>
    <w:rsid w:val="00D5049F"/>
    <w:rsid w:val="00D51859"/>
    <w:rsid w:val="00D51AEC"/>
    <w:rsid w:val="00D51C80"/>
    <w:rsid w:val="00D52071"/>
    <w:rsid w:val="00D5272C"/>
    <w:rsid w:val="00D52BBC"/>
    <w:rsid w:val="00D52EED"/>
    <w:rsid w:val="00D5395E"/>
    <w:rsid w:val="00D53A1A"/>
    <w:rsid w:val="00D545D1"/>
    <w:rsid w:val="00D546F7"/>
    <w:rsid w:val="00D553E6"/>
    <w:rsid w:val="00D56A36"/>
    <w:rsid w:val="00D56E1E"/>
    <w:rsid w:val="00D570DA"/>
    <w:rsid w:val="00D57585"/>
    <w:rsid w:val="00D577CD"/>
    <w:rsid w:val="00D60CC7"/>
    <w:rsid w:val="00D60CFB"/>
    <w:rsid w:val="00D60DD8"/>
    <w:rsid w:val="00D61A24"/>
    <w:rsid w:val="00D61E1E"/>
    <w:rsid w:val="00D621FF"/>
    <w:rsid w:val="00D6282A"/>
    <w:rsid w:val="00D631A1"/>
    <w:rsid w:val="00D6344C"/>
    <w:rsid w:val="00D63706"/>
    <w:rsid w:val="00D63BF3"/>
    <w:rsid w:val="00D64445"/>
    <w:rsid w:val="00D652B9"/>
    <w:rsid w:val="00D654AA"/>
    <w:rsid w:val="00D65AA0"/>
    <w:rsid w:val="00D66B6E"/>
    <w:rsid w:val="00D66B7F"/>
    <w:rsid w:val="00D66FEB"/>
    <w:rsid w:val="00D670BE"/>
    <w:rsid w:val="00D67891"/>
    <w:rsid w:val="00D67D1C"/>
    <w:rsid w:val="00D67FF6"/>
    <w:rsid w:val="00D7022D"/>
    <w:rsid w:val="00D70992"/>
    <w:rsid w:val="00D71C8E"/>
    <w:rsid w:val="00D72375"/>
    <w:rsid w:val="00D727A3"/>
    <w:rsid w:val="00D72826"/>
    <w:rsid w:val="00D72F34"/>
    <w:rsid w:val="00D7326B"/>
    <w:rsid w:val="00D73746"/>
    <w:rsid w:val="00D73C13"/>
    <w:rsid w:val="00D73D02"/>
    <w:rsid w:val="00D73FDD"/>
    <w:rsid w:val="00D740BB"/>
    <w:rsid w:val="00D75CAE"/>
    <w:rsid w:val="00D75D9C"/>
    <w:rsid w:val="00D75F44"/>
    <w:rsid w:val="00D76660"/>
    <w:rsid w:val="00D7668C"/>
    <w:rsid w:val="00D76CB0"/>
    <w:rsid w:val="00D7710A"/>
    <w:rsid w:val="00D771CB"/>
    <w:rsid w:val="00D77551"/>
    <w:rsid w:val="00D77783"/>
    <w:rsid w:val="00D77BA4"/>
    <w:rsid w:val="00D77F55"/>
    <w:rsid w:val="00D80088"/>
    <w:rsid w:val="00D807BA"/>
    <w:rsid w:val="00D80B56"/>
    <w:rsid w:val="00D8146A"/>
    <w:rsid w:val="00D81545"/>
    <w:rsid w:val="00D82D0C"/>
    <w:rsid w:val="00D82DA1"/>
    <w:rsid w:val="00D844C2"/>
    <w:rsid w:val="00D8498D"/>
    <w:rsid w:val="00D84E73"/>
    <w:rsid w:val="00D862C2"/>
    <w:rsid w:val="00D8734C"/>
    <w:rsid w:val="00D8769D"/>
    <w:rsid w:val="00D878E4"/>
    <w:rsid w:val="00D87B2B"/>
    <w:rsid w:val="00D87B92"/>
    <w:rsid w:val="00D87E3D"/>
    <w:rsid w:val="00D90332"/>
    <w:rsid w:val="00D90D3E"/>
    <w:rsid w:val="00D90F52"/>
    <w:rsid w:val="00D914E5"/>
    <w:rsid w:val="00D92439"/>
    <w:rsid w:val="00D928CC"/>
    <w:rsid w:val="00D92E85"/>
    <w:rsid w:val="00D94357"/>
    <w:rsid w:val="00D946A0"/>
    <w:rsid w:val="00D9485B"/>
    <w:rsid w:val="00D94B6D"/>
    <w:rsid w:val="00D94BA4"/>
    <w:rsid w:val="00D94C05"/>
    <w:rsid w:val="00D9517C"/>
    <w:rsid w:val="00D95C6D"/>
    <w:rsid w:val="00D9602D"/>
    <w:rsid w:val="00D962E2"/>
    <w:rsid w:val="00D96877"/>
    <w:rsid w:val="00D97D03"/>
    <w:rsid w:val="00DA04B8"/>
    <w:rsid w:val="00DA0869"/>
    <w:rsid w:val="00DA0D3E"/>
    <w:rsid w:val="00DA1739"/>
    <w:rsid w:val="00DA1B1A"/>
    <w:rsid w:val="00DA1DB5"/>
    <w:rsid w:val="00DA1E3E"/>
    <w:rsid w:val="00DA1ED9"/>
    <w:rsid w:val="00DA2616"/>
    <w:rsid w:val="00DA26AE"/>
    <w:rsid w:val="00DA2D27"/>
    <w:rsid w:val="00DA3250"/>
    <w:rsid w:val="00DA35E3"/>
    <w:rsid w:val="00DA3BA2"/>
    <w:rsid w:val="00DA3CE1"/>
    <w:rsid w:val="00DA3E68"/>
    <w:rsid w:val="00DA4070"/>
    <w:rsid w:val="00DA4164"/>
    <w:rsid w:val="00DA43A3"/>
    <w:rsid w:val="00DA4B24"/>
    <w:rsid w:val="00DA5D7F"/>
    <w:rsid w:val="00DA6E6A"/>
    <w:rsid w:val="00DB0079"/>
    <w:rsid w:val="00DB0730"/>
    <w:rsid w:val="00DB12E0"/>
    <w:rsid w:val="00DB1F12"/>
    <w:rsid w:val="00DB1FDA"/>
    <w:rsid w:val="00DB2398"/>
    <w:rsid w:val="00DB251B"/>
    <w:rsid w:val="00DB2A75"/>
    <w:rsid w:val="00DB3451"/>
    <w:rsid w:val="00DB5199"/>
    <w:rsid w:val="00DB52FE"/>
    <w:rsid w:val="00DB63AA"/>
    <w:rsid w:val="00DB6A6D"/>
    <w:rsid w:val="00DB6DAA"/>
    <w:rsid w:val="00DB7278"/>
    <w:rsid w:val="00DB74E1"/>
    <w:rsid w:val="00DB75EA"/>
    <w:rsid w:val="00DB79A7"/>
    <w:rsid w:val="00DB7BA9"/>
    <w:rsid w:val="00DC06D5"/>
    <w:rsid w:val="00DC127D"/>
    <w:rsid w:val="00DC16FE"/>
    <w:rsid w:val="00DC1CD2"/>
    <w:rsid w:val="00DC3DF8"/>
    <w:rsid w:val="00DC46D3"/>
    <w:rsid w:val="00DC4A3B"/>
    <w:rsid w:val="00DC4F35"/>
    <w:rsid w:val="00DC5652"/>
    <w:rsid w:val="00DC5B3F"/>
    <w:rsid w:val="00DC606D"/>
    <w:rsid w:val="00DC7393"/>
    <w:rsid w:val="00DC7E15"/>
    <w:rsid w:val="00DC7EB9"/>
    <w:rsid w:val="00DC7EDA"/>
    <w:rsid w:val="00DD0006"/>
    <w:rsid w:val="00DD0018"/>
    <w:rsid w:val="00DD0883"/>
    <w:rsid w:val="00DD0BC1"/>
    <w:rsid w:val="00DD0DA1"/>
    <w:rsid w:val="00DD199A"/>
    <w:rsid w:val="00DD27BA"/>
    <w:rsid w:val="00DD39D5"/>
    <w:rsid w:val="00DD3C32"/>
    <w:rsid w:val="00DD3C3F"/>
    <w:rsid w:val="00DD4AC8"/>
    <w:rsid w:val="00DD55E5"/>
    <w:rsid w:val="00DD5D35"/>
    <w:rsid w:val="00DD5FD4"/>
    <w:rsid w:val="00DD6202"/>
    <w:rsid w:val="00DD7838"/>
    <w:rsid w:val="00DD7B87"/>
    <w:rsid w:val="00DE0882"/>
    <w:rsid w:val="00DE0E10"/>
    <w:rsid w:val="00DE193C"/>
    <w:rsid w:val="00DE1C78"/>
    <w:rsid w:val="00DE29CF"/>
    <w:rsid w:val="00DE2E26"/>
    <w:rsid w:val="00DE3EBD"/>
    <w:rsid w:val="00DE48C0"/>
    <w:rsid w:val="00DE4D78"/>
    <w:rsid w:val="00DE4E07"/>
    <w:rsid w:val="00DE4F7F"/>
    <w:rsid w:val="00DE6C49"/>
    <w:rsid w:val="00DE6E53"/>
    <w:rsid w:val="00DE72CB"/>
    <w:rsid w:val="00DE7403"/>
    <w:rsid w:val="00DE7578"/>
    <w:rsid w:val="00DE7E64"/>
    <w:rsid w:val="00DF0092"/>
    <w:rsid w:val="00DF0344"/>
    <w:rsid w:val="00DF045D"/>
    <w:rsid w:val="00DF0866"/>
    <w:rsid w:val="00DF13BA"/>
    <w:rsid w:val="00DF1DA3"/>
    <w:rsid w:val="00DF2104"/>
    <w:rsid w:val="00DF2769"/>
    <w:rsid w:val="00DF2E23"/>
    <w:rsid w:val="00DF2E58"/>
    <w:rsid w:val="00DF31E5"/>
    <w:rsid w:val="00DF3656"/>
    <w:rsid w:val="00DF376A"/>
    <w:rsid w:val="00DF3A55"/>
    <w:rsid w:val="00DF4466"/>
    <w:rsid w:val="00DF5501"/>
    <w:rsid w:val="00DF5F33"/>
    <w:rsid w:val="00DF6694"/>
    <w:rsid w:val="00DF68C8"/>
    <w:rsid w:val="00DF6AD4"/>
    <w:rsid w:val="00DF6B2A"/>
    <w:rsid w:val="00DF7A7E"/>
    <w:rsid w:val="00DF7CC5"/>
    <w:rsid w:val="00E00160"/>
    <w:rsid w:val="00E00221"/>
    <w:rsid w:val="00E00831"/>
    <w:rsid w:val="00E01A5B"/>
    <w:rsid w:val="00E01C29"/>
    <w:rsid w:val="00E01CF4"/>
    <w:rsid w:val="00E01DBE"/>
    <w:rsid w:val="00E033AA"/>
    <w:rsid w:val="00E036B2"/>
    <w:rsid w:val="00E03867"/>
    <w:rsid w:val="00E03FB3"/>
    <w:rsid w:val="00E04EDF"/>
    <w:rsid w:val="00E05096"/>
    <w:rsid w:val="00E055D0"/>
    <w:rsid w:val="00E05A2C"/>
    <w:rsid w:val="00E05A7D"/>
    <w:rsid w:val="00E0602C"/>
    <w:rsid w:val="00E06360"/>
    <w:rsid w:val="00E10160"/>
    <w:rsid w:val="00E1035A"/>
    <w:rsid w:val="00E10690"/>
    <w:rsid w:val="00E10D7E"/>
    <w:rsid w:val="00E1170E"/>
    <w:rsid w:val="00E11A5F"/>
    <w:rsid w:val="00E11F6D"/>
    <w:rsid w:val="00E1320E"/>
    <w:rsid w:val="00E13629"/>
    <w:rsid w:val="00E13CDD"/>
    <w:rsid w:val="00E1409F"/>
    <w:rsid w:val="00E14353"/>
    <w:rsid w:val="00E146A7"/>
    <w:rsid w:val="00E14866"/>
    <w:rsid w:val="00E15DFE"/>
    <w:rsid w:val="00E164E2"/>
    <w:rsid w:val="00E1664A"/>
    <w:rsid w:val="00E1746F"/>
    <w:rsid w:val="00E179F0"/>
    <w:rsid w:val="00E17AA3"/>
    <w:rsid w:val="00E203E6"/>
    <w:rsid w:val="00E22254"/>
    <w:rsid w:val="00E22294"/>
    <w:rsid w:val="00E22487"/>
    <w:rsid w:val="00E22863"/>
    <w:rsid w:val="00E230B6"/>
    <w:rsid w:val="00E2381B"/>
    <w:rsid w:val="00E23A5C"/>
    <w:rsid w:val="00E23ED6"/>
    <w:rsid w:val="00E23FE7"/>
    <w:rsid w:val="00E25936"/>
    <w:rsid w:val="00E25E23"/>
    <w:rsid w:val="00E2635F"/>
    <w:rsid w:val="00E263A2"/>
    <w:rsid w:val="00E26711"/>
    <w:rsid w:val="00E26725"/>
    <w:rsid w:val="00E26C05"/>
    <w:rsid w:val="00E26E1E"/>
    <w:rsid w:val="00E26EA4"/>
    <w:rsid w:val="00E276A8"/>
    <w:rsid w:val="00E30D61"/>
    <w:rsid w:val="00E32870"/>
    <w:rsid w:val="00E32AC5"/>
    <w:rsid w:val="00E32D1D"/>
    <w:rsid w:val="00E338B9"/>
    <w:rsid w:val="00E3427B"/>
    <w:rsid w:val="00E34792"/>
    <w:rsid w:val="00E34840"/>
    <w:rsid w:val="00E3535F"/>
    <w:rsid w:val="00E35441"/>
    <w:rsid w:val="00E35B02"/>
    <w:rsid w:val="00E35B17"/>
    <w:rsid w:val="00E35D99"/>
    <w:rsid w:val="00E360B0"/>
    <w:rsid w:val="00E366BA"/>
    <w:rsid w:val="00E370EF"/>
    <w:rsid w:val="00E3714E"/>
    <w:rsid w:val="00E37724"/>
    <w:rsid w:val="00E3775E"/>
    <w:rsid w:val="00E37838"/>
    <w:rsid w:val="00E4026F"/>
    <w:rsid w:val="00E405E3"/>
    <w:rsid w:val="00E4066A"/>
    <w:rsid w:val="00E40675"/>
    <w:rsid w:val="00E40CD1"/>
    <w:rsid w:val="00E40EFE"/>
    <w:rsid w:val="00E41061"/>
    <w:rsid w:val="00E4198D"/>
    <w:rsid w:val="00E42351"/>
    <w:rsid w:val="00E42515"/>
    <w:rsid w:val="00E42991"/>
    <w:rsid w:val="00E42A61"/>
    <w:rsid w:val="00E42F6E"/>
    <w:rsid w:val="00E433AE"/>
    <w:rsid w:val="00E4379D"/>
    <w:rsid w:val="00E43884"/>
    <w:rsid w:val="00E447AB"/>
    <w:rsid w:val="00E4512C"/>
    <w:rsid w:val="00E4533F"/>
    <w:rsid w:val="00E45573"/>
    <w:rsid w:val="00E455F7"/>
    <w:rsid w:val="00E46058"/>
    <w:rsid w:val="00E46420"/>
    <w:rsid w:val="00E47B75"/>
    <w:rsid w:val="00E5025B"/>
    <w:rsid w:val="00E51B77"/>
    <w:rsid w:val="00E52E8F"/>
    <w:rsid w:val="00E5333D"/>
    <w:rsid w:val="00E54284"/>
    <w:rsid w:val="00E5461C"/>
    <w:rsid w:val="00E55125"/>
    <w:rsid w:val="00E5585A"/>
    <w:rsid w:val="00E55954"/>
    <w:rsid w:val="00E55E8B"/>
    <w:rsid w:val="00E55F3F"/>
    <w:rsid w:val="00E571A5"/>
    <w:rsid w:val="00E5768B"/>
    <w:rsid w:val="00E579DE"/>
    <w:rsid w:val="00E57E23"/>
    <w:rsid w:val="00E57E35"/>
    <w:rsid w:val="00E57EB0"/>
    <w:rsid w:val="00E610C4"/>
    <w:rsid w:val="00E61CFE"/>
    <w:rsid w:val="00E62701"/>
    <w:rsid w:val="00E63220"/>
    <w:rsid w:val="00E63326"/>
    <w:rsid w:val="00E639CA"/>
    <w:rsid w:val="00E6437B"/>
    <w:rsid w:val="00E64751"/>
    <w:rsid w:val="00E652C3"/>
    <w:rsid w:val="00E65447"/>
    <w:rsid w:val="00E657ED"/>
    <w:rsid w:val="00E657FF"/>
    <w:rsid w:val="00E65C25"/>
    <w:rsid w:val="00E65C3E"/>
    <w:rsid w:val="00E6653A"/>
    <w:rsid w:val="00E67357"/>
    <w:rsid w:val="00E677A7"/>
    <w:rsid w:val="00E70C16"/>
    <w:rsid w:val="00E70C2D"/>
    <w:rsid w:val="00E71277"/>
    <w:rsid w:val="00E712C2"/>
    <w:rsid w:val="00E712DB"/>
    <w:rsid w:val="00E719BD"/>
    <w:rsid w:val="00E71B76"/>
    <w:rsid w:val="00E71B97"/>
    <w:rsid w:val="00E728F2"/>
    <w:rsid w:val="00E72A7A"/>
    <w:rsid w:val="00E72B24"/>
    <w:rsid w:val="00E734E1"/>
    <w:rsid w:val="00E7368B"/>
    <w:rsid w:val="00E740CA"/>
    <w:rsid w:val="00E76092"/>
    <w:rsid w:val="00E76165"/>
    <w:rsid w:val="00E768C1"/>
    <w:rsid w:val="00E76ECE"/>
    <w:rsid w:val="00E7734E"/>
    <w:rsid w:val="00E77B7F"/>
    <w:rsid w:val="00E8019C"/>
    <w:rsid w:val="00E8099B"/>
    <w:rsid w:val="00E80ACA"/>
    <w:rsid w:val="00E8157B"/>
    <w:rsid w:val="00E815B8"/>
    <w:rsid w:val="00E81A87"/>
    <w:rsid w:val="00E8254A"/>
    <w:rsid w:val="00E8273C"/>
    <w:rsid w:val="00E828EE"/>
    <w:rsid w:val="00E82B99"/>
    <w:rsid w:val="00E8405B"/>
    <w:rsid w:val="00E8495B"/>
    <w:rsid w:val="00E857A7"/>
    <w:rsid w:val="00E85F28"/>
    <w:rsid w:val="00E86EC0"/>
    <w:rsid w:val="00E8708C"/>
    <w:rsid w:val="00E9017D"/>
    <w:rsid w:val="00E90B28"/>
    <w:rsid w:val="00E90DB2"/>
    <w:rsid w:val="00E90E83"/>
    <w:rsid w:val="00E90E8B"/>
    <w:rsid w:val="00E90F74"/>
    <w:rsid w:val="00E9100A"/>
    <w:rsid w:val="00E910F4"/>
    <w:rsid w:val="00E915EB"/>
    <w:rsid w:val="00E91644"/>
    <w:rsid w:val="00E916CF"/>
    <w:rsid w:val="00E918F3"/>
    <w:rsid w:val="00E9228F"/>
    <w:rsid w:val="00E9233C"/>
    <w:rsid w:val="00E93943"/>
    <w:rsid w:val="00E95A38"/>
    <w:rsid w:val="00E95AA3"/>
    <w:rsid w:val="00E95D1E"/>
    <w:rsid w:val="00E966AF"/>
    <w:rsid w:val="00E96F30"/>
    <w:rsid w:val="00E96F5D"/>
    <w:rsid w:val="00E97BD4"/>
    <w:rsid w:val="00EA0B21"/>
    <w:rsid w:val="00EA1001"/>
    <w:rsid w:val="00EA106E"/>
    <w:rsid w:val="00EA1677"/>
    <w:rsid w:val="00EA19B1"/>
    <w:rsid w:val="00EA2AAC"/>
    <w:rsid w:val="00EA358D"/>
    <w:rsid w:val="00EA38EE"/>
    <w:rsid w:val="00EA39FE"/>
    <w:rsid w:val="00EA3C18"/>
    <w:rsid w:val="00EA4529"/>
    <w:rsid w:val="00EA5474"/>
    <w:rsid w:val="00EA62DA"/>
    <w:rsid w:val="00EA652A"/>
    <w:rsid w:val="00EA658B"/>
    <w:rsid w:val="00EA6675"/>
    <w:rsid w:val="00EA6BE6"/>
    <w:rsid w:val="00EA797B"/>
    <w:rsid w:val="00EA7FEE"/>
    <w:rsid w:val="00EB0254"/>
    <w:rsid w:val="00EB0276"/>
    <w:rsid w:val="00EB1847"/>
    <w:rsid w:val="00EB1AF9"/>
    <w:rsid w:val="00EB2142"/>
    <w:rsid w:val="00EB2CB7"/>
    <w:rsid w:val="00EB2CCC"/>
    <w:rsid w:val="00EB3001"/>
    <w:rsid w:val="00EB3456"/>
    <w:rsid w:val="00EB3573"/>
    <w:rsid w:val="00EB3D4B"/>
    <w:rsid w:val="00EB41B7"/>
    <w:rsid w:val="00EB41D5"/>
    <w:rsid w:val="00EB4C4C"/>
    <w:rsid w:val="00EB5416"/>
    <w:rsid w:val="00EB5EB5"/>
    <w:rsid w:val="00EB6260"/>
    <w:rsid w:val="00EB6340"/>
    <w:rsid w:val="00EB6679"/>
    <w:rsid w:val="00EB6A02"/>
    <w:rsid w:val="00EB70E6"/>
    <w:rsid w:val="00EB72EC"/>
    <w:rsid w:val="00EB7BE0"/>
    <w:rsid w:val="00EB7CA9"/>
    <w:rsid w:val="00EB7F77"/>
    <w:rsid w:val="00EC0221"/>
    <w:rsid w:val="00EC054D"/>
    <w:rsid w:val="00EC07C2"/>
    <w:rsid w:val="00EC0940"/>
    <w:rsid w:val="00EC0A2F"/>
    <w:rsid w:val="00EC0AF8"/>
    <w:rsid w:val="00EC0B19"/>
    <w:rsid w:val="00EC129F"/>
    <w:rsid w:val="00EC2923"/>
    <w:rsid w:val="00EC2D07"/>
    <w:rsid w:val="00EC30B9"/>
    <w:rsid w:val="00EC39F2"/>
    <w:rsid w:val="00EC3BA8"/>
    <w:rsid w:val="00EC41AD"/>
    <w:rsid w:val="00EC4525"/>
    <w:rsid w:val="00EC4D81"/>
    <w:rsid w:val="00EC5797"/>
    <w:rsid w:val="00EC5E9D"/>
    <w:rsid w:val="00EC61A4"/>
    <w:rsid w:val="00EC7703"/>
    <w:rsid w:val="00EC7CBE"/>
    <w:rsid w:val="00EC7F95"/>
    <w:rsid w:val="00ED039E"/>
    <w:rsid w:val="00ED05ED"/>
    <w:rsid w:val="00ED08B7"/>
    <w:rsid w:val="00ED09D4"/>
    <w:rsid w:val="00ED0B80"/>
    <w:rsid w:val="00ED1502"/>
    <w:rsid w:val="00ED164A"/>
    <w:rsid w:val="00ED193A"/>
    <w:rsid w:val="00ED2E1F"/>
    <w:rsid w:val="00ED3123"/>
    <w:rsid w:val="00ED3716"/>
    <w:rsid w:val="00ED3769"/>
    <w:rsid w:val="00ED38DE"/>
    <w:rsid w:val="00ED3D63"/>
    <w:rsid w:val="00ED3F63"/>
    <w:rsid w:val="00ED4C7C"/>
    <w:rsid w:val="00ED4DB6"/>
    <w:rsid w:val="00ED5635"/>
    <w:rsid w:val="00ED5981"/>
    <w:rsid w:val="00ED5EA9"/>
    <w:rsid w:val="00ED75AD"/>
    <w:rsid w:val="00EE002C"/>
    <w:rsid w:val="00EE0108"/>
    <w:rsid w:val="00EE014B"/>
    <w:rsid w:val="00EE0385"/>
    <w:rsid w:val="00EE046D"/>
    <w:rsid w:val="00EE1383"/>
    <w:rsid w:val="00EE1AC8"/>
    <w:rsid w:val="00EE1D6C"/>
    <w:rsid w:val="00EE30DA"/>
    <w:rsid w:val="00EE3765"/>
    <w:rsid w:val="00EE3EAE"/>
    <w:rsid w:val="00EE4202"/>
    <w:rsid w:val="00EE47C6"/>
    <w:rsid w:val="00EE4939"/>
    <w:rsid w:val="00EE4B90"/>
    <w:rsid w:val="00EE50E4"/>
    <w:rsid w:val="00EE51DA"/>
    <w:rsid w:val="00EE549D"/>
    <w:rsid w:val="00EE56F5"/>
    <w:rsid w:val="00EE5CEC"/>
    <w:rsid w:val="00EE5F41"/>
    <w:rsid w:val="00EE6105"/>
    <w:rsid w:val="00EE7024"/>
    <w:rsid w:val="00EE77E3"/>
    <w:rsid w:val="00EF1732"/>
    <w:rsid w:val="00EF2BE3"/>
    <w:rsid w:val="00EF30A6"/>
    <w:rsid w:val="00EF3819"/>
    <w:rsid w:val="00EF4820"/>
    <w:rsid w:val="00EF5366"/>
    <w:rsid w:val="00EF546A"/>
    <w:rsid w:val="00EF56C2"/>
    <w:rsid w:val="00EF609A"/>
    <w:rsid w:val="00EF6754"/>
    <w:rsid w:val="00EF7543"/>
    <w:rsid w:val="00EF76FC"/>
    <w:rsid w:val="00EF7950"/>
    <w:rsid w:val="00EF7B39"/>
    <w:rsid w:val="00EF7CC2"/>
    <w:rsid w:val="00F00023"/>
    <w:rsid w:val="00F008F3"/>
    <w:rsid w:val="00F00974"/>
    <w:rsid w:val="00F011E2"/>
    <w:rsid w:val="00F01322"/>
    <w:rsid w:val="00F01749"/>
    <w:rsid w:val="00F017F0"/>
    <w:rsid w:val="00F01807"/>
    <w:rsid w:val="00F02037"/>
    <w:rsid w:val="00F02299"/>
    <w:rsid w:val="00F02661"/>
    <w:rsid w:val="00F02DE9"/>
    <w:rsid w:val="00F0340A"/>
    <w:rsid w:val="00F03F35"/>
    <w:rsid w:val="00F04A59"/>
    <w:rsid w:val="00F062A1"/>
    <w:rsid w:val="00F06483"/>
    <w:rsid w:val="00F06DB9"/>
    <w:rsid w:val="00F10954"/>
    <w:rsid w:val="00F11036"/>
    <w:rsid w:val="00F11BF8"/>
    <w:rsid w:val="00F12792"/>
    <w:rsid w:val="00F127B2"/>
    <w:rsid w:val="00F12D6E"/>
    <w:rsid w:val="00F1361A"/>
    <w:rsid w:val="00F139E5"/>
    <w:rsid w:val="00F1405F"/>
    <w:rsid w:val="00F14652"/>
    <w:rsid w:val="00F14838"/>
    <w:rsid w:val="00F148D1"/>
    <w:rsid w:val="00F14DBC"/>
    <w:rsid w:val="00F1514F"/>
    <w:rsid w:val="00F1527D"/>
    <w:rsid w:val="00F16256"/>
    <w:rsid w:val="00F171E7"/>
    <w:rsid w:val="00F173FA"/>
    <w:rsid w:val="00F17A1C"/>
    <w:rsid w:val="00F17A22"/>
    <w:rsid w:val="00F17E62"/>
    <w:rsid w:val="00F20AF3"/>
    <w:rsid w:val="00F216C3"/>
    <w:rsid w:val="00F21AB9"/>
    <w:rsid w:val="00F21AF1"/>
    <w:rsid w:val="00F22B38"/>
    <w:rsid w:val="00F232E8"/>
    <w:rsid w:val="00F235B4"/>
    <w:rsid w:val="00F23843"/>
    <w:rsid w:val="00F23C84"/>
    <w:rsid w:val="00F23CED"/>
    <w:rsid w:val="00F259A9"/>
    <w:rsid w:val="00F27BAB"/>
    <w:rsid w:val="00F27C65"/>
    <w:rsid w:val="00F27DEB"/>
    <w:rsid w:val="00F3195E"/>
    <w:rsid w:val="00F31EBB"/>
    <w:rsid w:val="00F31F11"/>
    <w:rsid w:val="00F329A2"/>
    <w:rsid w:val="00F35234"/>
    <w:rsid w:val="00F3593E"/>
    <w:rsid w:val="00F35AFC"/>
    <w:rsid w:val="00F35EBF"/>
    <w:rsid w:val="00F36612"/>
    <w:rsid w:val="00F36897"/>
    <w:rsid w:val="00F370B2"/>
    <w:rsid w:val="00F37A38"/>
    <w:rsid w:val="00F37DFA"/>
    <w:rsid w:val="00F4007E"/>
    <w:rsid w:val="00F40095"/>
    <w:rsid w:val="00F40574"/>
    <w:rsid w:val="00F40EEC"/>
    <w:rsid w:val="00F41873"/>
    <w:rsid w:val="00F41AF8"/>
    <w:rsid w:val="00F41CEA"/>
    <w:rsid w:val="00F425F8"/>
    <w:rsid w:val="00F4312A"/>
    <w:rsid w:val="00F4347A"/>
    <w:rsid w:val="00F4354E"/>
    <w:rsid w:val="00F440FB"/>
    <w:rsid w:val="00F4519C"/>
    <w:rsid w:val="00F4537B"/>
    <w:rsid w:val="00F45B9B"/>
    <w:rsid w:val="00F46005"/>
    <w:rsid w:val="00F467D0"/>
    <w:rsid w:val="00F46EA6"/>
    <w:rsid w:val="00F474D8"/>
    <w:rsid w:val="00F477CF"/>
    <w:rsid w:val="00F47A94"/>
    <w:rsid w:val="00F47D6D"/>
    <w:rsid w:val="00F5019C"/>
    <w:rsid w:val="00F505E3"/>
    <w:rsid w:val="00F50A92"/>
    <w:rsid w:val="00F51264"/>
    <w:rsid w:val="00F514C5"/>
    <w:rsid w:val="00F51BFE"/>
    <w:rsid w:val="00F52048"/>
    <w:rsid w:val="00F52275"/>
    <w:rsid w:val="00F525D7"/>
    <w:rsid w:val="00F5283F"/>
    <w:rsid w:val="00F52C9B"/>
    <w:rsid w:val="00F53327"/>
    <w:rsid w:val="00F534F1"/>
    <w:rsid w:val="00F53D17"/>
    <w:rsid w:val="00F540B9"/>
    <w:rsid w:val="00F54BEA"/>
    <w:rsid w:val="00F552A7"/>
    <w:rsid w:val="00F5565B"/>
    <w:rsid w:val="00F5567F"/>
    <w:rsid w:val="00F567A6"/>
    <w:rsid w:val="00F56A8C"/>
    <w:rsid w:val="00F56D8F"/>
    <w:rsid w:val="00F56FB5"/>
    <w:rsid w:val="00F56FB9"/>
    <w:rsid w:val="00F57267"/>
    <w:rsid w:val="00F605D6"/>
    <w:rsid w:val="00F60E58"/>
    <w:rsid w:val="00F61E86"/>
    <w:rsid w:val="00F625AB"/>
    <w:rsid w:val="00F626E8"/>
    <w:rsid w:val="00F628C5"/>
    <w:rsid w:val="00F6350F"/>
    <w:rsid w:val="00F63BBD"/>
    <w:rsid w:val="00F646A7"/>
    <w:rsid w:val="00F64A72"/>
    <w:rsid w:val="00F6562B"/>
    <w:rsid w:val="00F6576C"/>
    <w:rsid w:val="00F65EC9"/>
    <w:rsid w:val="00F662C8"/>
    <w:rsid w:val="00F672BD"/>
    <w:rsid w:val="00F6753D"/>
    <w:rsid w:val="00F67871"/>
    <w:rsid w:val="00F679DF"/>
    <w:rsid w:val="00F67BF7"/>
    <w:rsid w:val="00F704ED"/>
    <w:rsid w:val="00F70580"/>
    <w:rsid w:val="00F707A7"/>
    <w:rsid w:val="00F707D1"/>
    <w:rsid w:val="00F709EB"/>
    <w:rsid w:val="00F70D68"/>
    <w:rsid w:val="00F70E82"/>
    <w:rsid w:val="00F71003"/>
    <w:rsid w:val="00F7161D"/>
    <w:rsid w:val="00F71860"/>
    <w:rsid w:val="00F720BE"/>
    <w:rsid w:val="00F73ED2"/>
    <w:rsid w:val="00F745AC"/>
    <w:rsid w:val="00F74698"/>
    <w:rsid w:val="00F74C8E"/>
    <w:rsid w:val="00F74CCD"/>
    <w:rsid w:val="00F74F93"/>
    <w:rsid w:val="00F75129"/>
    <w:rsid w:val="00F751A5"/>
    <w:rsid w:val="00F7526C"/>
    <w:rsid w:val="00F75283"/>
    <w:rsid w:val="00F756D5"/>
    <w:rsid w:val="00F757B2"/>
    <w:rsid w:val="00F757F6"/>
    <w:rsid w:val="00F75B12"/>
    <w:rsid w:val="00F75E41"/>
    <w:rsid w:val="00F76A4A"/>
    <w:rsid w:val="00F772CA"/>
    <w:rsid w:val="00F7734A"/>
    <w:rsid w:val="00F77995"/>
    <w:rsid w:val="00F77AC5"/>
    <w:rsid w:val="00F77B94"/>
    <w:rsid w:val="00F80225"/>
    <w:rsid w:val="00F803EA"/>
    <w:rsid w:val="00F80486"/>
    <w:rsid w:val="00F806BC"/>
    <w:rsid w:val="00F80C93"/>
    <w:rsid w:val="00F81179"/>
    <w:rsid w:val="00F8187F"/>
    <w:rsid w:val="00F82118"/>
    <w:rsid w:val="00F83498"/>
    <w:rsid w:val="00F83B98"/>
    <w:rsid w:val="00F8437A"/>
    <w:rsid w:val="00F84B0B"/>
    <w:rsid w:val="00F84C2D"/>
    <w:rsid w:val="00F84F4E"/>
    <w:rsid w:val="00F854D4"/>
    <w:rsid w:val="00F85AED"/>
    <w:rsid w:val="00F85E4D"/>
    <w:rsid w:val="00F862DB"/>
    <w:rsid w:val="00F86336"/>
    <w:rsid w:val="00F871CC"/>
    <w:rsid w:val="00F87289"/>
    <w:rsid w:val="00F90892"/>
    <w:rsid w:val="00F90CBD"/>
    <w:rsid w:val="00F90DDE"/>
    <w:rsid w:val="00F916A9"/>
    <w:rsid w:val="00F91C89"/>
    <w:rsid w:val="00F922F1"/>
    <w:rsid w:val="00F92485"/>
    <w:rsid w:val="00F92565"/>
    <w:rsid w:val="00F925E9"/>
    <w:rsid w:val="00F928A5"/>
    <w:rsid w:val="00F93197"/>
    <w:rsid w:val="00F93317"/>
    <w:rsid w:val="00F93EB4"/>
    <w:rsid w:val="00F9417D"/>
    <w:rsid w:val="00F94242"/>
    <w:rsid w:val="00F94564"/>
    <w:rsid w:val="00F948C6"/>
    <w:rsid w:val="00F9494F"/>
    <w:rsid w:val="00F94AA0"/>
    <w:rsid w:val="00F9526A"/>
    <w:rsid w:val="00F95CDA"/>
    <w:rsid w:val="00F95D8F"/>
    <w:rsid w:val="00F95E6F"/>
    <w:rsid w:val="00F9640D"/>
    <w:rsid w:val="00F9660F"/>
    <w:rsid w:val="00F968D9"/>
    <w:rsid w:val="00F96A0F"/>
    <w:rsid w:val="00F9717D"/>
    <w:rsid w:val="00F973F4"/>
    <w:rsid w:val="00FA0495"/>
    <w:rsid w:val="00FA1465"/>
    <w:rsid w:val="00FA174C"/>
    <w:rsid w:val="00FA22CA"/>
    <w:rsid w:val="00FA234D"/>
    <w:rsid w:val="00FA2356"/>
    <w:rsid w:val="00FA2428"/>
    <w:rsid w:val="00FA2FEF"/>
    <w:rsid w:val="00FA3260"/>
    <w:rsid w:val="00FA3535"/>
    <w:rsid w:val="00FA394C"/>
    <w:rsid w:val="00FA438C"/>
    <w:rsid w:val="00FA4488"/>
    <w:rsid w:val="00FA45EC"/>
    <w:rsid w:val="00FA49A7"/>
    <w:rsid w:val="00FA4C82"/>
    <w:rsid w:val="00FA573C"/>
    <w:rsid w:val="00FA58D1"/>
    <w:rsid w:val="00FA5928"/>
    <w:rsid w:val="00FA60F5"/>
    <w:rsid w:val="00FA63C5"/>
    <w:rsid w:val="00FA6948"/>
    <w:rsid w:val="00FB0007"/>
    <w:rsid w:val="00FB0324"/>
    <w:rsid w:val="00FB0987"/>
    <w:rsid w:val="00FB126F"/>
    <w:rsid w:val="00FB1321"/>
    <w:rsid w:val="00FB17F2"/>
    <w:rsid w:val="00FB1B8D"/>
    <w:rsid w:val="00FB1F27"/>
    <w:rsid w:val="00FB26D6"/>
    <w:rsid w:val="00FB295E"/>
    <w:rsid w:val="00FB2E4A"/>
    <w:rsid w:val="00FB3280"/>
    <w:rsid w:val="00FB3542"/>
    <w:rsid w:val="00FB363E"/>
    <w:rsid w:val="00FB36BF"/>
    <w:rsid w:val="00FB399E"/>
    <w:rsid w:val="00FB3CE4"/>
    <w:rsid w:val="00FB4711"/>
    <w:rsid w:val="00FB5BAB"/>
    <w:rsid w:val="00FB5C4A"/>
    <w:rsid w:val="00FB6EDF"/>
    <w:rsid w:val="00FB7600"/>
    <w:rsid w:val="00FB7C36"/>
    <w:rsid w:val="00FB7E85"/>
    <w:rsid w:val="00FC0033"/>
    <w:rsid w:val="00FC04EC"/>
    <w:rsid w:val="00FC1AA1"/>
    <w:rsid w:val="00FC2407"/>
    <w:rsid w:val="00FC2800"/>
    <w:rsid w:val="00FC32C4"/>
    <w:rsid w:val="00FC3906"/>
    <w:rsid w:val="00FC3AB5"/>
    <w:rsid w:val="00FC3C0A"/>
    <w:rsid w:val="00FC4046"/>
    <w:rsid w:val="00FC6725"/>
    <w:rsid w:val="00FC6E02"/>
    <w:rsid w:val="00FC7000"/>
    <w:rsid w:val="00FC75E7"/>
    <w:rsid w:val="00FD023B"/>
    <w:rsid w:val="00FD0474"/>
    <w:rsid w:val="00FD0683"/>
    <w:rsid w:val="00FD0AE1"/>
    <w:rsid w:val="00FD0CEE"/>
    <w:rsid w:val="00FD21CB"/>
    <w:rsid w:val="00FD257E"/>
    <w:rsid w:val="00FD2F32"/>
    <w:rsid w:val="00FD3402"/>
    <w:rsid w:val="00FD3F1F"/>
    <w:rsid w:val="00FD4007"/>
    <w:rsid w:val="00FD41FC"/>
    <w:rsid w:val="00FD472C"/>
    <w:rsid w:val="00FD48F4"/>
    <w:rsid w:val="00FD4BBB"/>
    <w:rsid w:val="00FD4CF3"/>
    <w:rsid w:val="00FD4FE7"/>
    <w:rsid w:val="00FD566D"/>
    <w:rsid w:val="00FD6238"/>
    <w:rsid w:val="00FD6AB9"/>
    <w:rsid w:val="00FE08AF"/>
    <w:rsid w:val="00FE15D5"/>
    <w:rsid w:val="00FE173B"/>
    <w:rsid w:val="00FE1945"/>
    <w:rsid w:val="00FE194E"/>
    <w:rsid w:val="00FE21D8"/>
    <w:rsid w:val="00FE2388"/>
    <w:rsid w:val="00FE2473"/>
    <w:rsid w:val="00FE2A48"/>
    <w:rsid w:val="00FE45E9"/>
    <w:rsid w:val="00FE4BB9"/>
    <w:rsid w:val="00FE610A"/>
    <w:rsid w:val="00FE64CF"/>
    <w:rsid w:val="00FE65A9"/>
    <w:rsid w:val="00FE6AE3"/>
    <w:rsid w:val="00FE6B78"/>
    <w:rsid w:val="00FE6D7D"/>
    <w:rsid w:val="00FE6DCD"/>
    <w:rsid w:val="00FE7078"/>
    <w:rsid w:val="00FE716A"/>
    <w:rsid w:val="00FE7395"/>
    <w:rsid w:val="00FF02A4"/>
    <w:rsid w:val="00FF0376"/>
    <w:rsid w:val="00FF03D1"/>
    <w:rsid w:val="00FF0D64"/>
    <w:rsid w:val="00FF0DEF"/>
    <w:rsid w:val="00FF0FA8"/>
    <w:rsid w:val="00FF1041"/>
    <w:rsid w:val="00FF123C"/>
    <w:rsid w:val="00FF20ED"/>
    <w:rsid w:val="00FF24DC"/>
    <w:rsid w:val="00FF3021"/>
    <w:rsid w:val="00FF328A"/>
    <w:rsid w:val="00FF3490"/>
    <w:rsid w:val="00FF3728"/>
    <w:rsid w:val="00FF3BE6"/>
    <w:rsid w:val="00FF3E6D"/>
    <w:rsid w:val="00FF40E4"/>
    <w:rsid w:val="00FF4FCA"/>
    <w:rsid w:val="00FF511A"/>
    <w:rsid w:val="00FF52B2"/>
    <w:rsid w:val="00FF5831"/>
    <w:rsid w:val="00FF5BED"/>
    <w:rsid w:val="00FF5EBA"/>
    <w:rsid w:val="00FF5F54"/>
    <w:rsid w:val="00FF64DA"/>
    <w:rsid w:val="00FF70B9"/>
    <w:rsid w:val="00FF71C7"/>
    <w:rsid w:val="00FF73AE"/>
    <w:rsid w:val="00FF7A92"/>
    <w:rsid w:val="00FF7B17"/>
    <w:rsid w:val="00FF7C60"/>
    <w:rsid w:val="00FF7E2E"/>
    <w:rsid w:val="0111649B"/>
    <w:rsid w:val="016751DE"/>
    <w:rsid w:val="016853DB"/>
    <w:rsid w:val="01707A70"/>
    <w:rsid w:val="01FB4A55"/>
    <w:rsid w:val="022F73A2"/>
    <w:rsid w:val="024355A5"/>
    <w:rsid w:val="024E7C57"/>
    <w:rsid w:val="02AA4AEE"/>
    <w:rsid w:val="031241CB"/>
    <w:rsid w:val="03AC7771"/>
    <w:rsid w:val="03B617A8"/>
    <w:rsid w:val="03E74E7F"/>
    <w:rsid w:val="042122C0"/>
    <w:rsid w:val="042B62D5"/>
    <w:rsid w:val="044140D7"/>
    <w:rsid w:val="044B421A"/>
    <w:rsid w:val="044C3E9A"/>
    <w:rsid w:val="0469124B"/>
    <w:rsid w:val="048973F5"/>
    <w:rsid w:val="04A6582D"/>
    <w:rsid w:val="04AB36C2"/>
    <w:rsid w:val="04CF69F1"/>
    <w:rsid w:val="04F343E2"/>
    <w:rsid w:val="05426FB4"/>
    <w:rsid w:val="05936BD1"/>
    <w:rsid w:val="05BB7641"/>
    <w:rsid w:val="05CF6594"/>
    <w:rsid w:val="063355C7"/>
    <w:rsid w:val="06507A23"/>
    <w:rsid w:val="06FE6C86"/>
    <w:rsid w:val="071A2D33"/>
    <w:rsid w:val="073039A6"/>
    <w:rsid w:val="07BD141C"/>
    <w:rsid w:val="08190DC0"/>
    <w:rsid w:val="089C542D"/>
    <w:rsid w:val="08F700C6"/>
    <w:rsid w:val="091B377D"/>
    <w:rsid w:val="09230877"/>
    <w:rsid w:val="09A7037F"/>
    <w:rsid w:val="09DF6D3E"/>
    <w:rsid w:val="09FE1FFD"/>
    <w:rsid w:val="0A742AB5"/>
    <w:rsid w:val="0A95686D"/>
    <w:rsid w:val="0ADD7025"/>
    <w:rsid w:val="0AED0BBF"/>
    <w:rsid w:val="0B1316BA"/>
    <w:rsid w:val="0C1B331E"/>
    <w:rsid w:val="0C383A1B"/>
    <w:rsid w:val="0C4E7DBD"/>
    <w:rsid w:val="0C8C0F26"/>
    <w:rsid w:val="0CB9053F"/>
    <w:rsid w:val="0CD45858"/>
    <w:rsid w:val="0D0365E6"/>
    <w:rsid w:val="0D0C01B2"/>
    <w:rsid w:val="0D1E4C12"/>
    <w:rsid w:val="0D5044E7"/>
    <w:rsid w:val="0D5A4DF7"/>
    <w:rsid w:val="0D7C082F"/>
    <w:rsid w:val="0D7D7AA1"/>
    <w:rsid w:val="0D864AE4"/>
    <w:rsid w:val="0DA330A6"/>
    <w:rsid w:val="0DB85ACB"/>
    <w:rsid w:val="0DBC3817"/>
    <w:rsid w:val="0DCF2837"/>
    <w:rsid w:val="0E6E363A"/>
    <w:rsid w:val="0E952807"/>
    <w:rsid w:val="0EB827B5"/>
    <w:rsid w:val="0EC318F8"/>
    <w:rsid w:val="0F1A36E7"/>
    <w:rsid w:val="0F5D40E9"/>
    <w:rsid w:val="0F6E69C5"/>
    <w:rsid w:val="0F804627"/>
    <w:rsid w:val="0FA90FAC"/>
    <w:rsid w:val="0FD921A2"/>
    <w:rsid w:val="0FEE3462"/>
    <w:rsid w:val="0FF4110F"/>
    <w:rsid w:val="0FFF2ACC"/>
    <w:rsid w:val="10464C97"/>
    <w:rsid w:val="10C95A18"/>
    <w:rsid w:val="11305964"/>
    <w:rsid w:val="1174238A"/>
    <w:rsid w:val="118974D7"/>
    <w:rsid w:val="11BB44A5"/>
    <w:rsid w:val="122520C8"/>
    <w:rsid w:val="12BB3C49"/>
    <w:rsid w:val="12CA6462"/>
    <w:rsid w:val="13124CEA"/>
    <w:rsid w:val="135F6956"/>
    <w:rsid w:val="13AE4B94"/>
    <w:rsid w:val="13BB5537"/>
    <w:rsid w:val="13C522CA"/>
    <w:rsid w:val="13CB3A86"/>
    <w:rsid w:val="13D219D1"/>
    <w:rsid w:val="141A732C"/>
    <w:rsid w:val="14293E20"/>
    <w:rsid w:val="144038DA"/>
    <w:rsid w:val="1446594F"/>
    <w:rsid w:val="14997957"/>
    <w:rsid w:val="14AE7EB1"/>
    <w:rsid w:val="14F212EA"/>
    <w:rsid w:val="1510089B"/>
    <w:rsid w:val="155A4744"/>
    <w:rsid w:val="15C33BC1"/>
    <w:rsid w:val="16440DF7"/>
    <w:rsid w:val="16591B36"/>
    <w:rsid w:val="167823EB"/>
    <w:rsid w:val="1683077C"/>
    <w:rsid w:val="16980722"/>
    <w:rsid w:val="169E4074"/>
    <w:rsid w:val="16C8346F"/>
    <w:rsid w:val="16DF56F6"/>
    <w:rsid w:val="16E4751C"/>
    <w:rsid w:val="171B27FE"/>
    <w:rsid w:val="17224DD5"/>
    <w:rsid w:val="176C3F7D"/>
    <w:rsid w:val="17B346F1"/>
    <w:rsid w:val="17E02117"/>
    <w:rsid w:val="17FE5A6A"/>
    <w:rsid w:val="180841A7"/>
    <w:rsid w:val="1825592A"/>
    <w:rsid w:val="18312669"/>
    <w:rsid w:val="18D62162"/>
    <w:rsid w:val="18E17362"/>
    <w:rsid w:val="19D85537"/>
    <w:rsid w:val="1A0A00C9"/>
    <w:rsid w:val="1A1C7FE3"/>
    <w:rsid w:val="1A2331F1"/>
    <w:rsid w:val="1A2E1582"/>
    <w:rsid w:val="1A885114"/>
    <w:rsid w:val="1AAA28EB"/>
    <w:rsid w:val="1AE4582E"/>
    <w:rsid w:val="1B4B06D5"/>
    <w:rsid w:val="1B996256"/>
    <w:rsid w:val="1B9C4821"/>
    <w:rsid w:val="1C2A23C1"/>
    <w:rsid w:val="1C2E0CC8"/>
    <w:rsid w:val="1C3C5B80"/>
    <w:rsid w:val="1C52131A"/>
    <w:rsid w:val="1CC777A8"/>
    <w:rsid w:val="1CD06D04"/>
    <w:rsid w:val="1D1979CC"/>
    <w:rsid w:val="1D3D6F2B"/>
    <w:rsid w:val="1D4134DB"/>
    <w:rsid w:val="1D5A0435"/>
    <w:rsid w:val="1D7F0A6F"/>
    <w:rsid w:val="1D8D798A"/>
    <w:rsid w:val="1DB15D91"/>
    <w:rsid w:val="1DCB437B"/>
    <w:rsid w:val="1E036C31"/>
    <w:rsid w:val="1E081852"/>
    <w:rsid w:val="1E1E39F6"/>
    <w:rsid w:val="1E9A4645"/>
    <w:rsid w:val="1F20231F"/>
    <w:rsid w:val="1F5F5687"/>
    <w:rsid w:val="1FB1571A"/>
    <w:rsid w:val="1FD06C40"/>
    <w:rsid w:val="1FF36776"/>
    <w:rsid w:val="202905D3"/>
    <w:rsid w:val="20BC7B42"/>
    <w:rsid w:val="210C0BC6"/>
    <w:rsid w:val="211401D1"/>
    <w:rsid w:val="2164046D"/>
    <w:rsid w:val="21AF28C2"/>
    <w:rsid w:val="222A5CFD"/>
    <w:rsid w:val="222A7AD5"/>
    <w:rsid w:val="229930CD"/>
    <w:rsid w:val="22A93AEA"/>
    <w:rsid w:val="23120BDA"/>
    <w:rsid w:val="23617BC2"/>
    <w:rsid w:val="23C307CD"/>
    <w:rsid w:val="2411647E"/>
    <w:rsid w:val="24194FC5"/>
    <w:rsid w:val="243C7EAB"/>
    <w:rsid w:val="243F6ACA"/>
    <w:rsid w:val="24A55432"/>
    <w:rsid w:val="25010D2E"/>
    <w:rsid w:val="250F58BA"/>
    <w:rsid w:val="25246325"/>
    <w:rsid w:val="254342FE"/>
    <w:rsid w:val="254E2EA9"/>
    <w:rsid w:val="25C21B95"/>
    <w:rsid w:val="25C36217"/>
    <w:rsid w:val="264C3C60"/>
    <w:rsid w:val="264D18DB"/>
    <w:rsid w:val="26742C26"/>
    <w:rsid w:val="268B6A56"/>
    <w:rsid w:val="26D61792"/>
    <w:rsid w:val="273644BC"/>
    <w:rsid w:val="274F000B"/>
    <w:rsid w:val="27570C9B"/>
    <w:rsid w:val="279F06D4"/>
    <w:rsid w:val="27BA2F3E"/>
    <w:rsid w:val="284C4A2B"/>
    <w:rsid w:val="285C1F02"/>
    <w:rsid w:val="289C2A7D"/>
    <w:rsid w:val="28AB4A44"/>
    <w:rsid w:val="291B5F51"/>
    <w:rsid w:val="292D759C"/>
    <w:rsid w:val="295E3FFF"/>
    <w:rsid w:val="29706586"/>
    <w:rsid w:val="29906FFE"/>
    <w:rsid w:val="29FA101F"/>
    <w:rsid w:val="2A0F4CA7"/>
    <w:rsid w:val="2AA66064"/>
    <w:rsid w:val="2B1E5F4C"/>
    <w:rsid w:val="2B4A34AC"/>
    <w:rsid w:val="2B4E50B8"/>
    <w:rsid w:val="2B7E35E9"/>
    <w:rsid w:val="2B934188"/>
    <w:rsid w:val="2BA2281C"/>
    <w:rsid w:val="2BC32A58"/>
    <w:rsid w:val="2BC67260"/>
    <w:rsid w:val="2C0101BB"/>
    <w:rsid w:val="2C1C3F06"/>
    <w:rsid w:val="2C6B77C1"/>
    <w:rsid w:val="2C933131"/>
    <w:rsid w:val="2CBD64F3"/>
    <w:rsid w:val="2CCA2871"/>
    <w:rsid w:val="2D285673"/>
    <w:rsid w:val="2D765922"/>
    <w:rsid w:val="2D801AB4"/>
    <w:rsid w:val="2D9F063A"/>
    <w:rsid w:val="2D9F1ED7"/>
    <w:rsid w:val="2DFE0184"/>
    <w:rsid w:val="2E8C0CED"/>
    <w:rsid w:val="2E913B99"/>
    <w:rsid w:val="2EE04EF4"/>
    <w:rsid w:val="2F141ECB"/>
    <w:rsid w:val="2F244054"/>
    <w:rsid w:val="2F6B2F21"/>
    <w:rsid w:val="2FAB1145"/>
    <w:rsid w:val="302A4905"/>
    <w:rsid w:val="30376BFA"/>
    <w:rsid w:val="303C0FE3"/>
    <w:rsid w:val="30814620"/>
    <w:rsid w:val="309C10D7"/>
    <w:rsid w:val="30A203D8"/>
    <w:rsid w:val="30BA5A7F"/>
    <w:rsid w:val="30E26C43"/>
    <w:rsid w:val="316256DB"/>
    <w:rsid w:val="31D2742A"/>
    <w:rsid w:val="31FD2FDF"/>
    <w:rsid w:val="321B43C1"/>
    <w:rsid w:val="326B5492"/>
    <w:rsid w:val="33070B47"/>
    <w:rsid w:val="335453C3"/>
    <w:rsid w:val="33C83183"/>
    <w:rsid w:val="33D31514"/>
    <w:rsid w:val="33F81754"/>
    <w:rsid w:val="3404016F"/>
    <w:rsid w:val="343F1F8B"/>
    <w:rsid w:val="346863F5"/>
    <w:rsid w:val="349302CD"/>
    <w:rsid w:val="34B103D8"/>
    <w:rsid w:val="34C65624"/>
    <w:rsid w:val="34E038E4"/>
    <w:rsid w:val="34F20FA9"/>
    <w:rsid w:val="350E5A19"/>
    <w:rsid w:val="35493296"/>
    <w:rsid w:val="35904CED"/>
    <w:rsid w:val="35931A4D"/>
    <w:rsid w:val="35DB18E9"/>
    <w:rsid w:val="367A5E5E"/>
    <w:rsid w:val="36800A78"/>
    <w:rsid w:val="36DA5AA7"/>
    <w:rsid w:val="36F05BAE"/>
    <w:rsid w:val="374B1AC0"/>
    <w:rsid w:val="378673A6"/>
    <w:rsid w:val="37955B40"/>
    <w:rsid w:val="37AC6C6E"/>
    <w:rsid w:val="37D861F1"/>
    <w:rsid w:val="37E327A9"/>
    <w:rsid w:val="38764AB1"/>
    <w:rsid w:val="38DC3CC4"/>
    <w:rsid w:val="39322FCA"/>
    <w:rsid w:val="39753F0B"/>
    <w:rsid w:val="39B0057A"/>
    <w:rsid w:val="39DC680A"/>
    <w:rsid w:val="3A445FA5"/>
    <w:rsid w:val="3A7E2013"/>
    <w:rsid w:val="3AAB4CDC"/>
    <w:rsid w:val="3AFE445B"/>
    <w:rsid w:val="3B0E0EF1"/>
    <w:rsid w:val="3B111E76"/>
    <w:rsid w:val="3B4B6986"/>
    <w:rsid w:val="3B541666"/>
    <w:rsid w:val="3B696B9D"/>
    <w:rsid w:val="3BFF452B"/>
    <w:rsid w:val="3C0B42E4"/>
    <w:rsid w:val="3C3247FE"/>
    <w:rsid w:val="3C8B16E3"/>
    <w:rsid w:val="3CA80C93"/>
    <w:rsid w:val="3CEB717E"/>
    <w:rsid w:val="3D192C8C"/>
    <w:rsid w:val="3D5358A8"/>
    <w:rsid w:val="3D5C2635"/>
    <w:rsid w:val="3D7B23FA"/>
    <w:rsid w:val="3E137EE5"/>
    <w:rsid w:val="3E501BA8"/>
    <w:rsid w:val="3E655E5A"/>
    <w:rsid w:val="3F1D3A40"/>
    <w:rsid w:val="3F4150D3"/>
    <w:rsid w:val="3F6F2020"/>
    <w:rsid w:val="3FAB1623"/>
    <w:rsid w:val="3FDA6C8E"/>
    <w:rsid w:val="400000C1"/>
    <w:rsid w:val="4007741B"/>
    <w:rsid w:val="40193AF3"/>
    <w:rsid w:val="402A08D4"/>
    <w:rsid w:val="40865CBC"/>
    <w:rsid w:val="40B9143D"/>
    <w:rsid w:val="40D43FB1"/>
    <w:rsid w:val="410C3445"/>
    <w:rsid w:val="410E6949"/>
    <w:rsid w:val="41772AF5"/>
    <w:rsid w:val="419655A8"/>
    <w:rsid w:val="41B44B58"/>
    <w:rsid w:val="425C78EF"/>
    <w:rsid w:val="42E5074D"/>
    <w:rsid w:val="42FF12F7"/>
    <w:rsid w:val="43561D06"/>
    <w:rsid w:val="43836DDA"/>
    <w:rsid w:val="43982F15"/>
    <w:rsid w:val="439B6F77"/>
    <w:rsid w:val="43AB4718"/>
    <w:rsid w:val="43FD701B"/>
    <w:rsid w:val="44050BA5"/>
    <w:rsid w:val="4409502C"/>
    <w:rsid w:val="448C7B84"/>
    <w:rsid w:val="44A619F4"/>
    <w:rsid w:val="44D16FF4"/>
    <w:rsid w:val="45147D65"/>
    <w:rsid w:val="459066D5"/>
    <w:rsid w:val="45BF75D2"/>
    <w:rsid w:val="45D21CEF"/>
    <w:rsid w:val="461A028F"/>
    <w:rsid w:val="461D7942"/>
    <w:rsid w:val="463D754A"/>
    <w:rsid w:val="467D0334"/>
    <w:rsid w:val="467F265E"/>
    <w:rsid w:val="46AC5600"/>
    <w:rsid w:val="46F37F73"/>
    <w:rsid w:val="47426DF8"/>
    <w:rsid w:val="475A0C1C"/>
    <w:rsid w:val="47F33399"/>
    <w:rsid w:val="487A4D3C"/>
    <w:rsid w:val="4942653E"/>
    <w:rsid w:val="49493CCA"/>
    <w:rsid w:val="4955555E"/>
    <w:rsid w:val="49694C6F"/>
    <w:rsid w:val="4972708D"/>
    <w:rsid w:val="497A36B8"/>
    <w:rsid w:val="497E79FA"/>
    <w:rsid w:val="49A53A03"/>
    <w:rsid w:val="49E02700"/>
    <w:rsid w:val="4A3F2F5D"/>
    <w:rsid w:val="4A8C77D9"/>
    <w:rsid w:val="4A96396C"/>
    <w:rsid w:val="4AA01CFD"/>
    <w:rsid w:val="4AAA260D"/>
    <w:rsid w:val="4AF808D1"/>
    <w:rsid w:val="4B005648"/>
    <w:rsid w:val="4B1821C8"/>
    <w:rsid w:val="4B536D65"/>
    <w:rsid w:val="4BFB0AFF"/>
    <w:rsid w:val="4C766400"/>
    <w:rsid w:val="4C920308"/>
    <w:rsid w:val="4CE03AD2"/>
    <w:rsid w:val="4D3D03C8"/>
    <w:rsid w:val="4D441F51"/>
    <w:rsid w:val="4E3D3687"/>
    <w:rsid w:val="4F61484A"/>
    <w:rsid w:val="4F676336"/>
    <w:rsid w:val="4FA318C6"/>
    <w:rsid w:val="4FD10381"/>
    <w:rsid w:val="500B7261"/>
    <w:rsid w:val="504E3209"/>
    <w:rsid w:val="5064010A"/>
    <w:rsid w:val="508323A3"/>
    <w:rsid w:val="50A032E5"/>
    <w:rsid w:val="50AF2466"/>
    <w:rsid w:val="514F569E"/>
    <w:rsid w:val="516B0122"/>
    <w:rsid w:val="51AE1A26"/>
    <w:rsid w:val="51DB6674"/>
    <w:rsid w:val="52006417"/>
    <w:rsid w:val="5206251F"/>
    <w:rsid w:val="52902483"/>
    <w:rsid w:val="52DF7CA3"/>
    <w:rsid w:val="52E4668A"/>
    <w:rsid w:val="531639E1"/>
    <w:rsid w:val="532E00F0"/>
    <w:rsid w:val="53366494"/>
    <w:rsid w:val="533E38A0"/>
    <w:rsid w:val="5343630F"/>
    <w:rsid w:val="54010742"/>
    <w:rsid w:val="54F31747"/>
    <w:rsid w:val="55570F3D"/>
    <w:rsid w:val="55831587"/>
    <w:rsid w:val="55BD6C32"/>
    <w:rsid w:val="56117C1F"/>
    <w:rsid w:val="56E80A8F"/>
    <w:rsid w:val="57066C0E"/>
    <w:rsid w:val="585B2F03"/>
    <w:rsid w:val="58713677"/>
    <w:rsid w:val="5891595B"/>
    <w:rsid w:val="58B323F5"/>
    <w:rsid w:val="58E608E9"/>
    <w:rsid w:val="590F1AAD"/>
    <w:rsid w:val="591E3597"/>
    <w:rsid w:val="59E42D8A"/>
    <w:rsid w:val="5A1225D4"/>
    <w:rsid w:val="5A4E72BB"/>
    <w:rsid w:val="5A7F3CF8"/>
    <w:rsid w:val="5AC52078"/>
    <w:rsid w:val="5AC65A65"/>
    <w:rsid w:val="5B1A2E07"/>
    <w:rsid w:val="5B4076C9"/>
    <w:rsid w:val="5B6234AA"/>
    <w:rsid w:val="5B763389"/>
    <w:rsid w:val="5B8C403F"/>
    <w:rsid w:val="5B95189D"/>
    <w:rsid w:val="5BE537D4"/>
    <w:rsid w:val="5C5532D3"/>
    <w:rsid w:val="5C564D8D"/>
    <w:rsid w:val="5D42174B"/>
    <w:rsid w:val="5E0C5358"/>
    <w:rsid w:val="5E471CBA"/>
    <w:rsid w:val="5E4951BD"/>
    <w:rsid w:val="5E63653B"/>
    <w:rsid w:val="5E746BB0"/>
    <w:rsid w:val="5ECA48B8"/>
    <w:rsid w:val="5ECF671B"/>
    <w:rsid w:val="5F0F18E3"/>
    <w:rsid w:val="5F1F779F"/>
    <w:rsid w:val="5F3D0F4D"/>
    <w:rsid w:val="5F3D6D4F"/>
    <w:rsid w:val="5F987965"/>
    <w:rsid w:val="5FDE2D6F"/>
    <w:rsid w:val="607D3459"/>
    <w:rsid w:val="60CC4EDB"/>
    <w:rsid w:val="60ED22B0"/>
    <w:rsid w:val="615F25F2"/>
    <w:rsid w:val="6187560F"/>
    <w:rsid w:val="61CE0AF7"/>
    <w:rsid w:val="61DC0219"/>
    <w:rsid w:val="630073FA"/>
    <w:rsid w:val="631D23C2"/>
    <w:rsid w:val="63253DB6"/>
    <w:rsid w:val="63C677C7"/>
    <w:rsid w:val="63E82297"/>
    <w:rsid w:val="64515D34"/>
    <w:rsid w:val="649446A7"/>
    <w:rsid w:val="64AB05F8"/>
    <w:rsid w:val="64C53862"/>
    <w:rsid w:val="64C55055"/>
    <w:rsid w:val="64CC31ED"/>
    <w:rsid w:val="65755C04"/>
    <w:rsid w:val="659970BE"/>
    <w:rsid w:val="65ED6B48"/>
    <w:rsid w:val="66091D6B"/>
    <w:rsid w:val="661D1895"/>
    <w:rsid w:val="666B129D"/>
    <w:rsid w:val="667428C6"/>
    <w:rsid w:val="667A4606"/>
    <w:rsid w:val="667D2BB4"/>
    <w:rsid w:val="66C56BE5"/>
    <w:rsid w:val="66E4385D"/>
    <w:rsid w:val="672520C8"/>
    <w:rsid w:val="672E7BAA"/>
    <w:rsid w:val="673934D2"/>
    <w:rsid w:val="67483581"/>
    <w:rsid w:val="675E2FC0"/>
    <w:rsid w:val="67704A6A"/>
    <w:rsid w:val="677D4D2E"/>
    <w:rsid w:val="67A86E1E"/>
    <w:rsid w:val="67AA4B3B"/>
    <w:rsid w:val="67B66EC7"/>
    <w:rsid w:val="67BF3D0B"/>
    <w:rsid w:val="67D27839"/>
    <w:rsid w:val="67E1609D"/>
    <w:rsid w:val="68105548"/>
    <w:rsid w:val="68282911"/>
    <w:rsid w:val="68867B54"/>
    <w:rsid w:val="68B817C3"/>
    <w:rsid w:val="68C93059"/>
    <w:rsid w:val="69362DAC"/>
    <w:rsid w:val="696E0D08"/>
    <w:rsid w:val="69917C6F"/>
    <w:rsid w:val="69B45BF9"/>
    <w:rsid w:val="69EC7A26"/>
    <w:rsid w:val="6A0357FE"/>
    <w:rsid w:val="6A2A1FF0"/>
    <w:rsid w:val="6A3D6D75"/>
    <w:rsid w:val="6A3F35DF"/>
    <w:rsid w:val="6A53447E"/>
    <w:rsid w:val="6AB76720"/>
    <w:rsid w:val="6AC13BF6"/>
    <w:rsid w:val="6AC22533"/>
    <w:rsid w:val="6ACE1BC9"/>
    <w:rsid w:val="6B132FBF"/>
    <w:rsid w:val="6B3724F2"/>
    <w:rsid w:val="6B8203BA"/>
    <w:rsid w:val="6BBC7D53"/>
    <w:rsid w:val="6BF825B0"/>
    <w:rsid w:val="6CE8573C"/>
    <w:rsid w:val="6CFE78DF"/>
    <w:rsid w:val="6D3D73C4"/>
    <w:rsid w:val="6DDC72CD"/>
    <w:rsid w:val="6E2C5401"/>
    <w:rsid w:val="6E4346F3"/>
    <w:rsid w:val="6E8145BE"/>
    <w:rsid w:val="6E957014"/>
    <w:rsid w:val="6EC8494C"/>
    <w:rsid w:val="6ED97946"/>
    <w:rsid w:val="6F1729A4"/>
    <w:rsid w:val="6FAF4C4A"/>
    <w:rsid w:val="6FD7038D"/>
    <w:rsid w:val="703561A8"/>
    <w:rsid w:val="70366B8A"/>
    <w:rsid w:val="705553D8"/>
    <w:rsid w:val="705E44AE"/>
    <w:rsid w:val="705E4BDF"/>
    <w:rsid w:val="70A30158"/>
    <w:rsid w:val="70C512F3"/>
    <w:rsid w:val="710F390D"/>
    <w:rsid w:val="711B191E"/>
    <w:rsid w:val="713762E2"/>
    <w:rsid w:val="714317DD"/>
    <w:rsid w:val="71670B76"/>
    <w:rsid w:val="716C79C2"/>
    <w:rsid w:val="719672FE"/>
    <w:rsid w:val="71A74D85"/>
    <w:rsid w:val="72373664"/>
    <w:rsid w:val="728743F3"/>
    <w:rsid w:val="72A74928"/>
    <w:rsid w:val="73A85A76"/>
    <w:rsid w:val="741579B6"/>
    <w:rsid w:val="74482B1B"/>
    <w:rsid w:val="747C0418"/>
    <w:rsid w:val="74A14302"/>
    <w:rsid w:val="74F53273"/>
    <w:rsid w:val="75623BEC"/>
    <w:rsid w:val="75B7470E"/>
    <w:rsid w:val="75BA109A"/>
    <w:rsid w:val="75C7225E"/>
    <w:rsid w:val="75CC6D50"/>
    <w:rsid w:val="761D257C"/>
    <w:rsid w:val="76600CA7"/>
    <w:rsid w:val="766F725C"/>
    <w:rsid w:val="768F5592"/>
    <w:rsid w:val="7696711C"/>
    <w:rsid w:val="76CA4A52"/>
    <w:rsid w:val="76E43AFB"/>
    <w:rsid w:val="77162EED"/>
    <w:rsid w:val="771F344B"/>
    <w:rsid w:val="778A5CC7"/>
    <w:rsid w:val="77915B7B"/>
    <w:rsid w:val="77FE729C"/>
    <w:rsid w:val="78B16511"/>
    <w:rsid w:val="78CC3EAC"/>
    <w:rsid w:val="78CD1206"/>
    <w:rsid w:val="78E037DD"/>
    <w:rsid w:val="79034934"/>
    <w:rsid w:val="790726DC"/>
    <w:rsid w:val="79893306"/>
    <w:rsid w:val="79E37B88"/>
    <w:rsid w:val="79FE2930"/>
    <w:rsid w:val="7A03263B"/>
    <w:rsid w:val="7A2C59FE"/>
    <w:rsid w:val="7A521DCF"/>
    <w:rsid w:val="7A5E3C4E"/>
    <w:rsid w:val="7A805488"/>
    <w:rsid w:val="7BDA5C86"/>
    <w:rsid w:val="7BFC01F8"/>
    <w:rsid w:val="7C210437"/>
    <w:rsid w:val="7C682DAA"/>
    <w:rsid w:val="7C8C1758"/>
    <w:rsid w:val="7C985AF7"/>
    <w:rsid w:val="7CA94427"/>
    <w:rsid w:val="7CAF351E"/>
    <w:rsid w:val="7CC75ED7"/>
    <w:rsid w:val="7D593A13"/>
    <w:rsid w:val="7D6A533F"/>
    <w:rsid w:val="7D79646A"/>
    <w:rsid w:val="7D817FF3"/>
    <w:rsid w:val="7D836D7A"/>
    <w:rsid w:val="7D8626E1"/>
    <w:rsid w:val="7D9109C1"/>
    <w:rsid w:val="7D9C40A0"/>
    <w:rsid w:val="7DCE5FA9"/>
    <w:rsid w:val="7DDE6DBC"/>
    <w:rsid w:val="7DF86D65"/>
    <w:rsid w:val="7E3654FB"/>
    <w:rsid w:val="7E4E7747"/>
    <w:rsid w:val="7E564B54"/>
    <w:rsid w:val="7E934FBF"/>
    <w:rsid w:val="7ED52EA3"/>
    <w:rsid w:val="7ED918AA"/>
    <w:rsid w:val="7F3216C0"/>
    <w:rsid w:val="7F8242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qFormat="1" w:unhideWhenUsed="0"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书宋简体" w:cs="Times New Roman"/>
      <w:kern w:val="2"/>
      <w:sz w:val="28"/>
      <w:lang w:val="en-US" w:eastAsia="zh-CN" w:bidi="ar-SA"/>
    </w:rPr>
  </w:style>
  <w:style w:type="paragraph" w:styleId="3">
    <w:name w:val="heading 1"/>
    <w:basedOn w:val="1"/>
    <w:next w:val="1"/>
    <w:link w:val="7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9"/>
    <w:qFormat/>
    <w:uiPriority w:val="0"/>
    <w:pPr>
      <w:keepNext/>
      <w:tabs>
        <w:tab w:val="left" w:pos="1503"/>
      </w:tabs>
      <w:spacing w:before="240" w:after="240"/>
      <w:jc w:val="center"/>
      <w:outlineLvl w:val="1"/>
    </w:pPr>
    <w:rPr>
      <w:rFonts w:ascii="仿宋_GB2312" w:eastAsia="仿宋_GB2312"/>
      <w:b/>
      <w:sz w:val="32"/>
    </w:rPr>
  </w:style>
  <w:style w:type="paragraph" w:styleId="5">
    <w:name w:val="heading 3"/>
    <w:basedOn w:val="1"/>
    <w:next w:val="1"/>
    <w:link w:val="61"/>
    <w:unhideWhenUsed/>
    <w:qFormat/>
    <w:uiPriority w:val="0"/>
    <w:pPr>
      <w:keepNext/>
      <w:keepLines/>
      <w:spacing w:before="260" w:after="260" w:line="416" w:lineRule="auto"/>
      <w:outlineLvl w:val="2"/>
    </w:pPr>
    <w:rPr>
      <w:b/>
      <w:bCs/>
      <w:sz w:val="32"/>
      <w:szCs w:val="32"/>
    </w:rPr>
  </w:style>
  <w:style w:type="character" w:default="1" w:styleId="27">
    <w:name w:val="Default Paragraph Font"/>
    <w:semiHidden/>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szCs w:val="18"/>
    </w:rPr>
  </w:style>
  <w:style w:type="paragraph" w:styleId="6">
    <w:name w:val="toc 7"/>
    <w:basedOn w:val="1"/>
    <w:next w:val="1"/>
    <w:qFormat/>
    <w:uiPriority w:val="0"/>
    <w:pPr>
      <w:jc w:val="center"/>
    </w:pPr>
    <w:rPr>
      <w:b/>
      <w:sz w:val="21"/>
      <w:szCs w:val="21"/>
    </w:rPr>
  </w:style>
  <w:style w:type="paragraph" w:styleId="7">
    <w:name w:val="Normal Indent"/>
    <w:basedOn w:val="1"/>
    <w:link w:val="53"/>
    <w:qFormat/>
    <w:uiPriority w:val="99"/>
    <w:pPr>
      <w:spacing w:line="480" w:lineRule="exact"/>
      <w:ind w:firstLine="200" w:firstLineChars="200"/>
    </w:pPr>
    <w:rPr>
      <w:rFonts w:eastAsia="宋体"/>
      <w:color w:val="000000"/>
      <w:sz w:val="24"/>
      <w:szCs w:val="24"/>
    </w:rPr>
  </w:style>
  <w:style w:type="paragraph" w:styleId="8">
    <w:name w:val="caption"/>
    <w:basedOn w:val="1"/>
    <w:next w:val="1"/>
    <w:qFormat/>
    <w:uiPriority w:val="0"/>
    <w:rPr>
      <w:rFonts w:ascii="Arial" w:hAnsi="Arial" w:eastAsia="黑体" w:cs="Arial"/>
      <w:sz w:val="20"/>
    </w:rPr>
  </w:style>
  <w:style w:type="paragraph" w:styleId="9">
    <w:name w:val="Document Map"/>
    <w:basedOn w:val="1"/>
    <w:link w:val="55"/>
    <w:qFormat/>
    <w:uiPriority w:val="0"/>
    <w:rPr>
      <w:rFonts w:ascii="宋体" w:eastAsia="宋体"/>
      <w:sz w:val="18"/>
      <w:szCs w:val="18"/>
    </w:rPr>
  </w:style>
  <w:style w:type="paragraph" w:styleId="10">
    <w:name w:val="annotation text"/>
    <w:basedOn w:val="1"/>
    <w:link w:val="80"/>
    <w:qFormat/>
    <w:uiPriority w:val="0"/>
    <w:pPr>
      <w:jc w:val="left"/>
    </w:pPr>
  </w:style>
  <w:style w:type="paragraph" w:styleId="11">
    <w:name w:val="Body Text"/>
    <w:basedOn w:val="1"/>
    <w:qFormat/>
    <w:uiPriority w:val="0"/>
    <w:pPr>
      <w:spacing w:line="360" w:lineRule="auto"/>
    </w:pPr>
    <w:rPr>
      <w:rFonts w:ascii="楷体_GB2312" w:hAnsi="宋体" w:eastAsia="楷体_GB2312"/>
    </w:rPr>
  </w:style>
  <w:style w:type="paragraph" w:styleId="12">
    <w:name w:val="Body Text Indent"/>
    <w:basedOn w:val="1"/>
    <w:link w:val="58"/>
    <w:qFormat/>
    <w:uiPriority w:val="0"/>
    <w:pPr>
      <w:spacing w:after="120"/>
      <w:ind w:left="420" w:leftChars="200"/>
    </w:pPr>
  </w:style>
  <w:style w:type="paragraph" w:styleId="13">
    <w:name w:val="List 2"/>
    <w:basedOn w:val="1"/>
    <w:qFormat/>
    <w:uiPriority w:val="99"/>
    <w:pPr>
      <w:ind w:left="100" w:leftChars="200" w:hanging="200" w:hangingChars="200"/>
      <w:contextualSpacing/>
    </w:pPr>
  </w:style>
  <w:style w:type="paragraph" w:styleId="14">
    <w:name w:val="Plain Text"/>
    <w:basedOn w:val="1"/>
    <w:qFormat/>
    <w:uiPriority w:val="0"/>
    <w:rPr>
      <w:rFonts w:hAnsi="Courier New"/>
      <w:sz w:val="21"/>
    </w:rPr>
  </w:style>
  <w:style w:type="paragraph" w:styleId="15">
    <w:name w:val="Date"/>
    <w:basedOn w:val="1"/>
    <w:next w:val="1"/>
    <w:qFormat/>
    <w:uiPriority w:val="0"/>
    <w:rPr>
      <w:rFonts w:ascii="仿宋体（打印机字体）" w:eastAsia="仿宋体（打印机字体）"/>
    </w:rPr>
  </w:style>
  <w:style w:type="paragraph" w:styleId="16">
    <w:name w:val="Body Text Indent 2"/>
    <w:basedOn w:val="1"/>
    <w:next w:val="1"/>
    <w:link w:val="57"/>
    <w:qFormat/>
    <w:uiPriority w:val="0"/>
    <w:pPr>
      <w:spacing w:after="120" w:line="480" w:lineRule="auto"/>
      <w:ind w:left="420" w:leftChars="200"/>
    </w:pPr>
  </w:style>
  <w:style w:type="paragraph" w:styleId="17">
    <w:name w:val="Balloon Text"/>
    <w:basedOn w:val="1"/>
    <w:link w:val="56"/>
    <w:qFormat/>
    <w:uiPriority w:val="0"/>
    <w:rPr>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9">
    <w:name w:val="List"/>
    <w:basedOn w:val="1"/>
    <w:qFormat/>
    <w:uiPriority w:val="99"/>
    <w:pPr>
      <w:autoSpaceDE w:val="0"/>
      <w:autoSpaceDN w:val="0"/>
      <w:adjustRightInd w:val="0"/>
      <w:jc w:val="center"/>
      <w:textAlignment w:val="baseline"/>
    </w:pPr>
    <w:rPr>
      <w:kern w:val="0"/>
      <w:sz w:val="21"/>
    </w:rPr>
  </w:style>
  <w:style w:type="paragraph" w:styleId="20">
    <w:name w:val="Body Text Indent 3"/>
    <w:basedOn w:val="1"/>
    <w:qFormat/>
    <w:uiPriority w:val="0"/>
    <w:pPr>
      <w:ind w:firstLine="480" w:firstLineChars="200"/>
    </w:pPr>
    <w:rPr>
      <w:rFonts w:ascii="宋体" w:hAnsi="宋体" w:eastAsia="宋体"/>
      <w:sz w:val="24"/>
      <w:szCs w:val="24"/>
    </w:rPr>
  </w:style>
  <w:style w:type="paragraph" w:styleId="21">
    <w:name w:val="Body Text 2"/>
    <w:basedOn w:val="1"/>
    <w:qFormat/>
    <w:uiPriority w:val="0"/>
    <w:pPr>
      <w:spacing w:line="360" w:lineRule="auto"/>
    </w:pPr>
    <w:rPr>
      <w:color w:val="0000FF"/>
    </w:rPr>
  </w:style>
  <w:style w:type="paragraph" w:styleId="2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3">
    <w:name w:val="Title"/>
    <w:basedOn w:val="1"/>
    <w:next w:val="1"/>
    <w:link w:val="52"/>
    <w:qFormat/>
    <w:uiPriority w:val="0"/>
    <w:pPr>
      <w:adjustRightInd w:val="0"/>
      <w:snapToGrid w:val="0"/>
      <w:spacing w:line="480" w:lineRule="exact"/>
      <w:jc w:val="center"/>
    </w:pPr>
    <w:rPr>
      <w:rFonts w:ascii="黑体" w:hAnsi="黑体" w:eastAsia="黑体"/>
      <w:bCs/>
      <w:sz w:val="24"/>
      <w:szCs w:val="32"/>
    </w:rPr>
  </w:style>
  <w:style w:type="paragraph" w:styleId="24">
    <w:name w:val="annotation subject"/>
    <w:basedOn w:val="10"/>
    <w:next w:val="10"/>
    <w:link w:val="81"/>
    <w:qFormat/>
    <w:uiPriority w:val="0"/>
    <w:rPr>
      <w:b/>
      <w:bCs/>
    </w:rPr>
  </w:style>
  <w:style w:type="table" w:styleId="26">
    <w:name w:val="Table Grid"/>
    <w:basedOn w:val="25"/>
    <w:unhideWhenUsed/>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8">
    <w:name w:val="Strong"/>
    <w:qFormat/>
    <w:uiPriority w:val="22"/>
    <w:rPr>
      <w:b/>
      <w:bCs/>
    </w:rPr>
  </w:style>
  <w:style w:type="character" w:styleId="29">
    <w:name w:val="page number"/>
    <w:basedOn w:val="27"/>
    <w:qFormat/>
    <w:uiPriority w:val="0"/>
  </w:style>
  <w:style w:type="character" w:styleId="30">
    <w:name w:val="Emphasis"/>
    <w:qFormat/>
    <w:uiPriority w:val="20"/>
    <w:rPr>
      <w:i/>
      <w:iCs/>
    </w:rPr>
  </w:style>
  <w:style w:type="character" w:styleId="31">
    <w:name w:val="Hyperlink"/>
    <w:qFormat/>
    <w:uiPriority w:val="0"/>
    <w:rPr>
      <w:color w:val="0000FF"/>
      <w:sz w:val="21"/>
      <w:szCs w:val="24"/>
      <w:u w:val="single"/>
    </w:rPr>
  </w:style>
  <w:style w:type="character" w:styleId="32">
    <w:name w:val="annotation reference"/>
    <w:basedOn w:val="27"/>
    <w:qFormat/>
    <w:uiPriority w:val="0"/>
    <w:rPr>
      <w:sz w:val="21"/>
      <w:szCs w:val="21"/>
    </w:rPr>
  </w:style>
  <w:style w:type="paragraph" w:customStyle="1" w:styleId="33">
    <w:name w:val="_Style 4"/>
    <w:next w:val="1"/>
    <w:qFormat/>
    <w:uiPriority w:val="1"/>
    <w:pPr>
      <w:widowControl w:val="0"/>
      <w:jc w:val="both"/>
    </w:pPr>
    <w:rPr>
      <w:rFonts w:ascii="Calibri" w:hAnsi="Calibri" w:eastAsia="仿宋_GB2312" w:cs="Times New Roman"/>
      <w:kern w:val="2"/>
      <w:sz w:val="24"/>
      <w:szCs w:val="22"/>
      <w:lang w:val="en-US" w:eastAsia="zh-CN" w:bidi="ar-SA"/>
    </w:rPr>
  </w:style>
  <w:style w:type="paragraph" w:customStyle="1" w:styleId="34">
    <w:name w:val="Default"/>
    <w:qFormat/>
    <w:uiPriority w:val="0"/>
    <w:pPr>
      <w:widowControl w:val="0"/>
      <w:autoSpaceDE w:val="0"/>
      <w:autoSpaceDN w:val="0"/>
      <w:adjustRightInd w:val="0"/>
    </w:pPr>
    <w:rPr>
      <w:rFonts w:ascii="宋体" w:hAnsi="Times New Roman" w:eastAsia="宋体" w:cs="宋体"/>
      <w:sz w:val="21"/>
      <w:szCs w:val="22"/>
      <w:lang w:val="en-US" w:eastAsia="zh-CN" w:bidi="ar-SA"/>
    </w:rPr>
  </w:style>
  <w:style w:type="paragraph" w:customStyle="1" w:styleId="35">
    <w:name w:val="第七章表标头"/>
    <w:basedOn w:val="1"/>
    <w:qFormat/>
    <w:uiPriority w:val="0"/>
    <w:pPr>
      <w:adjustRightInd w:val="0"/>
      <w:snapToGrid w:val="0"/>
      <w:spacing w:line="480" w:lineRule="exact"/>
      <w:jc w:val="center"/>
    </w:pPr>
    <w:rPr>
      <w:rFonts w:ascii="黑体" w:hAnsi="黑体" w:eastAsia="黑体"/>
      <w:color w:val="000000"/>
      <w:sz w:val="24"/>
    </w:rPr>
  </w:style>
  <w:style w:type="paragraph" w:customStyle="1" w:styleId="36">
    <w:name w:val="报告正文"/>
    <w:basedOn w:val="1"/>
    <w:next w:val="1"/>
    <w:link w:val="51"/>
    <w:qFormat/>
    <w:uiPriority w:val="0"/>
    <w:pPr>
      <w:adjustRightInd w:val="0"/>
      <w:snapToGrid w:val="0"/>
      <w:spacing w:line="480" w:lineRule="exact"/>
      <w:ind w:firstLine="200" w:firstLineChars="200"/>
    </w:pPr>
    <w:rPr>
      <w:rFonts w:eastAsia="宋体"/>
      <w:sz w:val="24"/>
    </w:rPr>
  </w:style>
  <w:style w:type="paragraph" w:customStyle="1" w:styleId="37">
    <w:name w:val="加粗报告正文"/>
    <w:basedOn w:val="1"/>
    <w:qFormat/>
    <w:uiPriority w:val="0"/>
    <w:pPr>
      <w:adjustRightInd w:val="0"/>
      <w:snapToGrid w:val="0"/>
      <w:spacing w:line="480" w:lineRule="exact"/>
      <w:ind w:firstLine="486" w:firstLineChars="200"/>
    </w:pPr>
    <w:rPr>
      <w:rFonts w:eastAsia="宋体"/>
      <w:b/>
      <w:sz w:val="24"/>
      <w:szCs w:val="24"/>
    </w:rPr>
  </w:style>
  <w:style w:type="paragraph" w:customStyle="1" w:styleId="38">
    <w:name w:val="表格内容"/>
    <w:basedOn w:val="1"/>
    <w:next w:val="1"/>
    <w:link w:val="50"/>
    <w:qFormat/>
    <w:uiPriority w:val="0"/>
    <w:pPr>
      <w:overflowPunct w:val="0"/>
      <w:adjustRightInd w:val="0"/>
      <w:snapToGrid w:val="0"/>
      <w:jc w:val="center"/>
      <w:textAlignment w:val="baseline"/>
    </w:pPr>
    <w:rPr>
      <w:rFonts w:eastAsia="宋体"/>
      <w:kern w:val="0"/>
      <w:sz w:val="21"/>
      <w:szCs w:val="24"/>
    </w:rPr>
  </w:style>
  <w:style w:type="paragraph" w:customStyle="1" w:styleId="39">
    <w:name w:val="Char Char Char Char"/>
    <w:basedOn w:val="1"/>
    <w:qFormat/>
    <w:uiPriority w:val="0"/>
    <w:rPr>
      <w:rFonts w:eastAsia="宋体"/>
      <w:sz w:val="21"/>
      <w:szCs w:val="24"/>
    </w:rPr>
  </w:style>
  <w:style w:type="paragraph" w:customStyle="1" w:styleId="40">
    <w:name w:val="xl39"/>
    <w:basedOn w:val="1"/>
    <w:qFormat/>
    <w:uiPriority w:val="0"/>
    <w:pPr>
      <w:widowControl/>
      <w:spacing w:before="100" w:after="100"/>
      <w:jc w:val="center"/>
    </w:pPr>
    <w:rPr>
      <w:rFonts w:ascii="Arial Unicode MS" w:hAnsi="Arial Unicode MS" w:eastAsia="Arial Unicode MS"/>
      <w:kern w:val="0"/>
      <w:sz w:val="24"/>
    </w:rPr>
  </w:style>
  <w:style w:type="paragraph" w:customStyle="1" w:styleId="41">
    <w:name w:val="pic-info"/>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报告表格标题"/>
    <w:basedOn w:val="1"/>
    <w:next w:val="1"/>
    <w:qFormat/>
    <w:uiPriority w:val="0"/>
    <w:pPr>
      <w:adjustRightInd w:val="0"/>
      <w:snapToGrid w:val="0"/>
      <w:spacing w:beforeLines="50" w:afterLines="50" w:line="480" w:lineRule="exact"/>
      <w:jc w:val="center"/>
    </w:pPr>
    <w:rPr>
      <w:rFonts w:ascii="黑体" w:hAnsi="宋体" w:eastAsia="黑体"/>
      <w:sz w:val="24"/>
    </w:rPr>
  </w:style>
  <w:style w:type="paragraph" w:customStyle="1" w:styleId="43">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4">
    <w:name w:val="reader-word-layer reader-word-s2-1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reader-word-layer reader-word-s2-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6">
    <w:name w:val="char"/>
    <w:basedOn w:val="1"/>
    <w:qFormat/>
    <w:uiPriority w:val="0"/>
    <w:pPr>
      <w:widowControl/>
      <w:spacing w:after="160"/>
      <w:jc w:val="left"/>
    </w:pPr>
    <w:rPr>
      <w:rFonts w:ascii="Verdana" w:hAnsi="Verdana" w:eastAsia="仿宋_GB2312" w:cs="”“Times New Roman”“"/>
      <w:kern w:val="0"/>
      <w:szCs w:val="28"/>
      <w:lang w:eastAsia="en-US"/>
    </w:rPr>
  </w:style>
  <w:style w:type="paragraph" w:customStyle="1" w:styleId="47">
    <w:name w:val="表格内文字"/>
    <w:basedOn w:val="1"/>
    <w:next w:val="1"/>
    <w:qFormat/>
    <w:uiPriority w:val="0"/>
    <w:pPr>
      <w:adjustRightInd w:val="0"/>
      <w:snapToGrid w:val="0"/>
      <w:jc w:val="center"/>
    </w:pPr>
    <w:rPr>
      <w:rFonts w:eastAsia="宋体"/>
      <w:sz w:val="21"/>
    </w:rPr>
  </w:style>
  <w:style w:type="paragraph" w:customStyle="1" w:styleId="48">
    <w:name w:val="列出段落1"/>
    <w:basedOn w:val="1"/>
    <w:qFormat/>
    <w:uiPriority w:val="34"/>
    <w:pPr>
      <w:ind w:firstLine="420" w:firstLineChars="200"/>
    </w:pPr>
  </w:style>
  <w:style w:type="paragraph" w:customStyle="1" w:styleId="49">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0">
    <w:name w:val="表格内容 Char"/>
    <w:link w:val="38"/>
    <w:qFormat/>
    <w:uiPriority w:val="0"/>
    <w:rPr>
      <w:rFonts w:eastAsia="宋体"/>
      <w:sz w:val="21"/>
      <w:szCs w:val="24"/>
      <w:lang w:val="en-US" w:eastAsia="zh-CN" w:bidi="ar-SA"/>
    </w:rPr>
  </w:style>
  <w:style w:type="character" w:customStyle="1" w:styleId="51">
    <w:name w:val="报告正文 Char"/>
    <w:link w:val="36"/>
    <w:qFormat/>
    <w:uiPriority w:val="0"/>
    <w:rPr>
      <w:rFonts w:eastAsia="宋体"/>
      <w:kern w:val="2"/>
      <w:sz w:val="24"/>
      <w:lang w:val="en-US" w:eastAsia="zh-CN" w:bidi="ar-SA"/>
    </w:rPr>
  </w:style>
  <w:style w:type="character" w:customStyle="1" w:styleId="52">
    <w:name w:val="标题 字符"/>
    <w:link w:val="23"/>
    <w:qFormat/>
    <w:uiPriority w:val="0"/>
    <w:rPr>
      <w:rFonts w:ascii="黑体" w:hAnsi="黑体" w:eastAsia="黑体"/>
      <w:bCs/>
      <w:kern w:val="2"/>
      <w:sz w:val="24"/>
      <w:szCs w:val="32"/>
      <w:lang w:bidi="ar-SA"/>
    </w:rPr>
  </w:style>
  <w:style w:type="character" w:customStyle="1" w:styleId="53">
    <w:name w:val="正文缩进 字符"/>
    <w:link w:val="7"/>
    <w:qFormat/>
    <w:uiPriority w:val="99"/>
    <w:rPr>
      <w:rFonts w:eastAsia="宋体"/>
      <w:color w:val="000000"/>
      <w:kern w:val="2"/>
      <w:sz w:val="24"/>
      <w:szCs w:val="24"/>
      <w:lang w:val="en-US" w:eastAsia="zh-CN" w:bidi="ar-SA"/>
    </w:rPr>
  </w:style>
  <w:style w:type="character" w:customStyle="1" w:styleId="54">
    <w:name w:val="报告书正文 Char"/>
    <w:qFormat/>
    <w:uiPriority w:val="0"/>
    <w:rPr>
      <w:rFonts w:eastAsia="宋体"/>
      <w:color w:val="000000"/>
      <w:kern w:val="2"/>
      <w:sz w:val="24"/>
      <w:szCs w:val="24"/>
      <w:lang w:val="en-US" w:eastAsia="zh-CN" w:bidi="ar-SA"/>
    </w:rPr>
  </w:style>
  <w:style w:type="character" w:customStyle="1" w:styleId="55">
    <w:name w:val="文档结构图 字符"/>
    <w:link w:val="9"/>
    <w:qFormat/>
    <w:uiPriority w:val="0"/>
    <w:rPr>
      <w:rFonts w:ascii="宋体"/>
      <w:kern w:val="2"/>
      <w:sz w:val="18"/>
      <w:szCs w:val="18"/>
    </w:rPr>
  </w:style>
  <w:style w:type="character" w:customStyle="1" w:styleId="56">
    <w:name w:val="批注框文本 字符"/>
    <w:link w:val="17"/>
    <w:qFormat/>
    <w:uiPriority w:val="0"/>
    <w:rPr>
      <w:rFonts w:eastAsia="方正书宋简体"/>
      <w:kern w:val="2"/>
      <w:sz w:val="18"/>
      <w:szCs w:val="18"/>
    </w:rPr>
  </w:style>
  <w:style w:type="character" w:customStyle="1" w:styleId="57">
    <w:name w:val="正文文本缩进 2 字符"/>
    <w:link w:val="16"/>
    <w:qFormat/>
    <w:uiPriority w:val="0"/>
    <w:rPr>
      <w:rFonts w:eastAsia="方正书宋简体"/>
      <w:kern w:val="2"/>
      <w:sz w:val="28"/>
    </w:rPr>
  </w:style>
  <w:style w:type="character" w:customStyle="1" w:styleId="58">
    <w:name w:val="正文文本缩进 字符"/>
    <w:link w:val="12"/>
    <w:qFormat/>
    <w:uiPriority w:val="0"/>
    <w:rPr>
      <w:rFonts w:eastAsia="方正书宋简体"/>
      <w:kern w:val="2"/>
      <w:sz w:val="28"/>
    </w:rPr>
  </w:style>
  <w:style w:type="character" w:customStyle="1" w:styleId="59">
    <w:name w:val="标题 2 字符"/>
    <w:link w:val="4"/>
    <w:qFormat/>
    <w:uiPriority w:val="0"/>
    <w:rPr>
      <w:rFonts w:ascii="仿宋_GB2312" w:eastAsia="仿宋_GB2312"/>
      <w:b/>
      <w:kern w:val="2"/>
      <w:sz w:val="32"/>
    </w:rPr>
  </w:style>
  <w:style w:type="paragraph" w:customStyle="1" w:styleId="60">
    <w:name w:val="Char Char Char Char1"/>
    <w:basedOn w:val="1"/>
    <w:qFormat/>
    <w:uiPriority w:val="0"/>
    <w:rPr>
      <w:rFonts w:eastAsia="宋体"/>
      <w:sz w:val="21"/>
      <w:szCs w:val="24"/>
    </w:rPr>
  </w:style>
  <w:style w:type="character" w:customStyle="1" w:styleId="61">
    <w:name w:val="标题 3 字符"/>
    <w:link w:val="5"/>
    <w:semiHidden/>
    <w:qFormat/>
    <w:uiPriority w:val="0"/>
    <w:rPr>
      <w:rFonts w:eastAsia="方正书宋简体"/>
      <w:b/>
      <w:bCs/>
      <w:kern w:val="2"/>
      <w:sz w:val="32"/>
      <w:szCs w:val="32"/>
    </w:rPr>
  </w:style>
  <w:style w:type="paragraph" w:customStyle="1" w:styleId="62">
    <w:name w:val="默认段落字体 Para Char Char Char Char"/>
    <w:basedOn w:val="1"/>
    <w:qFormat/>
    <w:uiPriority w:val="0"/>
    <w:rPr>
      <w:rFonts w:eastAsia="宋体"/>
      <w:sz w:val="24"/>
      <w:szCs w:val="24"/>
    </w:rPr>
  </w:style>
  <w:style w:type="paragraph" w:customStyle="1" w:styleId="63">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eastAsia="Arial Unicode MS"/>
      <w:kern w:val="0"/>
      <w:szCs w:val="21"/>
    </w:rPr>
  </w:style>
  <w:style w:type="paragraph" w:customStyle="1" w:styleId="64">
    <w:name w:val="列出段落2"/>
    <w:basedOn w:val="1"/>
    <w:qFormat/>
    <w:uiPriority w:val="34"/>
    <w:pPr>
      <w:ind w:firstLine="420" w:firstLineChars="200"/>
    </w:pPr>
  </w:style>
  <w:style w:type="character" w:customStyle="1" w:styleId="65">
    <w:name w:val="apple-converted-space"/>
    <w:basedOn w:val="27"/>
    <w:qFormat/>
    <w:uiPriority w:val="0"/>
  </w:style>
  <w:style w:type="paragraph" w:customStyle="1" w:styleId="66">
    <w:name w:val="cardlist-name"/>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
    <w:name w:val="cardlist-valu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68">
    <w:name w:val="opt"/>
    <w:basedOn w:val="27"/>
    <w:qFormat/>
    <w:uiPriority w:val="0"/>
  </w:style>
  <w:style w:type="paragraph" w:customStyle="1" w:styleId="69">
    <w:name w:val="老吴彪项目名称 单位"/>
    <w:basedOn w:val="1"/>
    <w:link w:val="70"/>
    <w:qFormat/>
    <w:uiPriority w:val="0"/>
    <w:pPr>
      <w:ind w:firstLine="640" w:firstLineChars="200"/>
    </w:pPr>
    <w:rPr>
      <w:rFonts w:eastAsia="宋体"/>
      <w:color w:val="FF00FF"/>
      <w:sz w:val="32"/>
      <w:szCs w:val="32"/>
    </w:rPr>
  </w:style>
  <w:style w:type="character" w:customStyle="1" w:styleId="70">
    <w:name w:val="老吴彪项目名称 单位 Char"/>
    <w:link w:val="69"/>
    <w:qFormat/>
    <w:uiPriority w:val="0"/>
    <w:rPr>
      <w:color w:val="FF00FF"/>
      <w:kern w:val="2"/>
      <w:sz w:val="32"/>
      <w:szCs w:val="32"/>
    </w:rPr>
  </w:style>
  <w:style w:type="paragraph" w:customStyle="1" w:styleId="71">
    <w:name w:val="样式 表内文字 吴涛09.03表 + 居中 行距: 单倍行距"/>
    <w:basedOn w:val="1"/>
    <w:qFormat/>
    <w:uiPriority w:val="0"/>
    <w:pPr>
      <w:spacing w:before="20" w:after="20"/>
      <w:jc w:val="center"/>
    </w:pPr>
    <w:rPr>
      <w:rFonts w:eastAsia="宋体" w:cs="宋体"/>
      <w:color w:val="800000"/>
      <w:sz w:val="24"/>
      <w:szCs w:val="24"/>
    </w:rPr>
  </w:style>
  <w:style w:type="paragraph" w:customStyle="1" w:styleId="72">
    <w:name w:val="正文 吴涛09.03表"/>
    <w:basedOn w:val="1"/>
    <w:qFormat/>
    <w:uiPriority w:val="0"/>
    <w:pPr>
      <w:spacing w:before="20" w:after="20" w:line="420" w:lineRule="auto"/>
      <w:ind w:firstLine="200" w:firstLineChars="200"/>
    </w:pPr>
    <w:rPr>
      <w:rFonts w:eastAsia="宋体"/>
      <w:color w:val="0D7AAB"/>
      <w:sz w:val="24"/>
      <w:szCs w:val="24"/>
    </w:rPr>
  </w:style>
  <w:style w:type="paragraph" w:customStyle="1" w:styleId="73">
    <w:name w:val="规定栏目 吴涛09.03表"/>
    <w:basedOn w:val="1"/>
    <w:qFormat/>
    <w:uiPriority w:val="0"/>
    <w:pPr>
      <w:spacing w:before="240" w:after="120" w:line="420" w:lineRule="auto"/>
    </w:pPr>
    <w:rPr>
      <w:rFonts w:eastAsia="宋体"/>
      <w:b/>
      <w:sz w:val="24"/>
    </w:rPr>
  </w:style>
  <w:style w:type="paragraph" w:customStyle="1" w:styleId="74">
    <w:name w:val="老吴表标题1"/>
    <w:basedOn w:val="3"/>
    <w:qFormat/>
    <w:uiPriority w:val="0"/>
    <w:pPr>
      <w:numPr>
        <w:ilvl w:val="0"/>
        <w:numId w:val="1"/>
      </w:numPr>
      <w:spacing w:before="20" w:after="20" w:line="420" w:lineRule="auto"/>
    </w:pPr>
    <w:rPr>
      <w:rFonts w:eastAsia="华文中宋"/>
      <w:b w:val="0"/>
      <w:color w:val="A50021"/>
      <w:sz w:val="24"/>
      <w:szCs w:val="24"/>
    </w:rPr>
  </w:style>
  <w:style w:type="character" w:customStyle="1" w:styleId="75">
    <w:name w:val="标题 1 字符"/>
    <w:link w:val="3"/>
    <w:qFormat/>
    <w:uiPriority w:val="0"/>
    <w:rPr>
      <w:rFonts w:eastAsia="方正书宋简体"/>
      <w:b/>
      <w:bCs/>
      <w:kern w:val="44"/>
      <w:sz w:val="44"/>
      <w:szCs w:val="44"/>
    </w:rPr>
  </w:style>
  <w:style w:type="character" w:customStyle="1" w:styleId="76">
    <w:name w:val="%三级标题 Char Char"/>
    <w:link w:val="77"/>
    <w:qFormat/>
    <w:uiPriority w:val="0"/>
    <w:rPr>
      <w:rFonts w:ascii="宋体" w:hAnsi="宋体" w:eastAsia="仿宋_GB2312"/>
      <w:kern w:val="2"/>
      <w:sz w:val="24"/>
      <w:szCs w:val="24"/>
    </w:rPr>
  </w:style>
  <w:style w:type="paragraph" w:customStyle="1" w:styleId="77">
    <w:name w:val="%三级标题"/>
    <w:link w:val="76"/>
    <w:qFormat/>
    <w:uiPriority w:val="0"/>
    <w:pPr>
      <w:spacing w:line="400" w:lineRule="exact"/>
    </w:pPr>
    <w:rPr>
      <w:rFonts w:ascii="宋体" w:hAnsi="宋体" w:eastAsia="仿宋_GB2312" w:cs="Times New Roman"/>
      <w:kern w:val="2"/>
      <w:sz w:val="24"/>
      <w:szCs w:val="24"/>
      <w:lang w:val="en-US" w:eastAsia="zh-CN" w:bidi="ar-SA"/>
    </w:rPr>
  </w:style>
  <w:style w:type="character" w:customStyle="1" w:styleId="78">
    <w:name w:val="报告正文 Char1"/>
    <w:qFormat/>
    <w:uiPriority w:val="0"/>
    <w:rPr>
      <w:rFonts w:ascii="宋体" w:eastAsia="宋体"/>
      <w:kern w:val="2"/>
      <w:sz w:val="28"/>
      <w:lang w:val="en-US" w:eastAsia="zh-CN" w:bidi="ar-SA"/>
    </w:rPr>
  </w:style>
  <w:style w:type="character" w:customStyle="1" w:styleId="79">
    <w:name w:val="正文缩进 Char2"/>
    <w:qFormat/>
    <w:uiPriority w:val="0"/>
    <w:rPr>
      <w:rFonts w:eastAsia="宋体"/>
      <w:kern w:val="2"/>
      <w:sz w:val="21"/>
      <w:lang w:val="en-US" w:eastAsia="zh-CN" w:bidi="ar-SA"/>
    </w:rPr>
  </w:style>
  <w:style w:type="character" w:customStyle="1" w:styleId="80">
    <w:name w:val="批注文字 字符"/>
    <w:basedOn w:val="27"/>
    <w:link w:val="10"/>
    <w:qFormat/>
    <w:uiPriority w:val="0"/>
    <w:rPr>
      <w:rFonts w:eastAsia="方正书宋简体"/>
      <w:kern w:val="2"/>
      <w:sz w:val="28"/>
    </w:rPr>
  </w:style>
  <w:style w:type="character" w:customStyle="1" w:styleId="81">
    <w:name w:val="批注主题 字符"/>
    <w:basedOn w:val="80"/>
    <w:link w:val="24"/>
    <w:qFormat/>
    <w:uiPriority w:val="0"/>
    <w:rPr>
      <w:rFonts w:eastAsia="方正书宋简体"/>
      <w:kern w:val="2"/>
      <w:sz w:val="28"/>
    </w:rPr>
  </w:style>
  <w:style w:type="paragraph" w:customStyle="1" w:styleId="82">
    <w:name w:val="gao 1"/>
    <w:basedOn w:val="1"/>
    <w:qFormat/>
    <w:uiPriority w:val="0"/>
    <w:rPr>
      <w:rFonts w:eastAsia="方正大标宋简体"/>
    </w:rPr>
  </w:style>
  <w:style w:type="character" w:customStyle="1" w:styleId="83">
    <w:name w:val="fontstyle01"/>
    <w:basedOn w:val="27"/>
    <w:qFormat/>
    <w:uiPriority w:val="0"/>
    <w:rPr>
      <w:rFonts w:ascii="TTD4o00" w:hAnsi="TTD4o00" w:eastAsia="TTD4o00" w:cs="TTD4o00"/>
      <w:color w:val="000000"/>
      <w:sz w:val="24"/>
      <w:szCs w:val="24"/>
    </w:rPr>
  </w:style>
  <w:style w:type="character" w:customStyle="1" w:styleId="84">
    <w:name w:val="fontstyle21"/>
    <w:basedOn w:val="27"/>
    <w:qFormat/>
    <w:uiPriority w:val="0"/>
    <w:rPr>
      <w:rFonts w:ascii="TTD4o01" w:hAnsi="TTD4o01" w:eastAsia="TTD4o01" w:cs="TTD4o01"/>
      <w:color w:val="000000"/>
      <w:sz w:val="24"/>
      <w:szCs w:val="24"/>
    </w:rPr>
  </w:style>
  <w:style w:type="table" w:customStyle="1" w:styleId="85">
    <w:name w:val="样式2"/>
    <w:basedOn w:val="25"/>
    <w:qFormat/>
    <w:uiPriority w:val="99"/>
    <w:tblPr>
      <w:tblBorders>
        <w:top w:val="double" w:color="auto" w:sz="4" w:space="0"/>
        <w:bottom w:val="double" w:color="auto" w:sz="4" w:space="0"/>
        <w:insideH w:val="single" w:color="auto" w:sz="4" w:space="0"/>
        <w:insideV w:val="single" w:color="auto" w:sz="4" w:space="0"/>
      </w:tblBorders>
    </w:tblPr>
    <w:tcPr>
      <w:vAlign w:val="center"/>
    </w:tcPr>
  </w:style>
  <w:style w:type="paragraph" w:customStyle="1" w:styleId="86">
    <w:name w:val="报告表格"/>
    <w:basedOn w:val="1"/>
    <w:qFormat/>
    <w:uiPriority w:val="0"/>
    <w:pPr>
      <w:autoSpaceDE w:val="0"/>
      <w:autoSpaceDN w:val="0"/>
      <w:adjustRightInd w:val="0"/>
      <w:spacing w:before="40" w:after="40"/>
      <w:jc w:val="center"/>
    </w:pPr>
    <w:rPr>
      <w:rFonts w:eastAsia="宋体"/>
      <w:kern w:val="0"/>
      <w:sz w:val="21"/>
    </w:rPr>
  </w:style>
  <w:style w:type="paragraph" w:customStyle="1" w:styleId="87">
    <w:name w:val="修订1"/>
    <w:hidden/>
    <w:unhideWhenUsed/>
    <w:qFormat/>
    <w:uiPriority w:val="99"/>
    <w:rPr>
      <w:rFonts w:ascii="Times New Roman" w:hAnsi="Times New Roman" w:eastAsia="方正书宋简体" w:cs="Times New Roman"/>
      <w:kern w:val="2"/>
      <w:sz w:val="28"/>
      <w:lang w:val="en-US" w:eastAsia="zh-CN" w:bidi="ar-SA"/>
    </w:rPr>
  </w:style>
  <w:style w:type="paragraph" w:customStyle="1" w:styleId="88">
    <w:name w:val="修订2"/>
    <w:hidden/>
    <w:unhideWhenUsed/>
    <w:qFormat/>
    <w:uiPriority w:val="99"/>
    <w:rPr>
      <w:rFonts w:ascii="Times New Roman" w:hAnsi="Times New Roman" w:eastAsia="方正书宋简体" w:cs="Times New Roman"/>
      <w:kern w:val="2"/>
      <w:sz w:val="28"/>
      <w:lang w:val="en-US" w:eastAsia="zh-CN" w:bidi="ar-SA"/>
    </w:rPr>
  </w:style>
  <w:style w:type="paragraph" w:customStyle="1" w:styleId="89">
    <w:name w:val="张希柱-正文"/>
    <w:basedOn w:val="1"/>
    <w:qFormat/>
    <w:uiPriority w:val="0"/>
    <w:pPr>
      <w:spacing w:line="360" w:lineRule="auto"/>
      <w:ind w:firstLine="200" w:firstLineChars="200"/>
    </w:pPr>
    <w:rPr>
      <w:snapToGrid w:val="0"/>
      <w:kern w:val="0"/>
    </w:rPr>
  </w:style>
  <w:style w:type="paragraph" w:customStyle="1" w:styleId="90">
    <w:name w:val="p15"/>
    <w:basedOn w:val="1"/>
    <w:qFormat/>
    <w:uiPriority w:val="0"/>
    <w:pPr>
      <w:widowControl/>
      <w:spacing w:after="120"/>
      <w:ind w:left="420"/>
    </w:pPr>
    <w:rPr>
      <w:kern w:val="0"/>
      <w:sz w:val="16"/>
      <w:szCs w:val="16"/>
    </w:rPr>
  </w:style>
  <w:style w:type="character" w:customStyle="1" w:styleId="91">
    <w:name w:val="fontstyle31"/>
    <w:basedOn w:val="27"/>
    <w:qFormat/>
    <w:uiPriority w:val="0"/>
    <w:rPr>
      <w:rFonts w:ascii="TimesNewRomanPSMT" w:hAnsi="TimesNewRomanPSMT" w:eastAsia="TimesNewRomanPSMT" w:cs="TimesNewRomanPSMT"/>
      <w:color w:val="000000"/>
      <w:sz w:val="24"/>
      <w:szCs w:val="24"/>
    </w:rPr>
  </w:style>
  <w:style w:type="paragraph" w:customStyle="1" w:styleId="92">
    <w:name w:val="修订3"/>
    <w:hidden/>
    <w:unhideWhenUsed/>
    <w:qFormat/>
    <w:uiPriority w:val="99"/>
    <w:rPr>
      <w:rFonts w:ascii="Times New Roman" w:hAnsi="Times New Roman" w:eastAsia="方正书宋简体" w:cs="Times New Roman"/>
      <w:kern w:val="2"/>
      <w:sz w:val="28"/>
      <w:lang w:val="en-US" w:eastAsia="zh-CN" w:bidi="ar-SA"/>
    </w:rPr>
  </w:style>
  <w:style w:type="paragraph" w:customStyle="1" w:styleId="93">
    <w:name w:val="表格标题"/>
    <w:basedOn w:val="94"/>
    <w:qFormat/>
    <w:uiPriority w:val="0"/>
    <w:pPr>
      <w:snapToGrid w:val="0"/>
      <w:spacing w:line="400" w:lineRule="exact"/>
    </w:pPr>
    <w:rPr>
      <w:rFonts w:eastAsia="黑体"/>
      <w:sz w:val="24"/>
    </w:rPr>
  </w:style>
  <w:style w:type="paragraph" w:customStyle="1" w:styleId="94">
    <w:name w:val="表头"/>
    <w:basedOn w:val="1"/>
    <w:qFormat/>
    <w:uiPriority w:val="0"/>
    <w:pPr>
      <w:overflowPunct w:val="0"/>
      <w:adjustRightInd w:val="0"/>
      <w:jc w:val="center"/>
      <w:textAlignment w:val="baseline"/>
    </w:pPr>
    <w:rPr>
      <w:b/>
      <w:kern w:val="24"/>
      <w:szCs w:val="21"/>
    </w:rPr>
  </w:style>
  <w:style w:type="paragraph" w:customStyle="1" w:styleId="95">
    <w:name w:val="表格内容居中"/>
    <w:qFormat/>
    <w:uiPriority w:val="0"/>
    <w:pPr>
      <w:adjustRightInd w:val="0"/>
      <w:snapToGrid w:val="0"/>
      <w:jc w:val="center"/>
    </w:pPr>
    <w:rPr>
      <w:rFonts w:ascii="Calibri" w:hAnsi="Calibri" w:eastAsia="宋体" w:cs="Times New Roman"/>
      <w:snapToGrid w:val="0"/>
      <w:sz w:val="21"/>
      <w:szCs w:val="21"/>
      <w:lang w:val="en-US" w:eastAsia="zh-CN" w:bidi="ar-SA"/>
    </w:rPr>
  </w:style>
  <w:style w:type="paragraph" w:customStyle="1" w:styleId="96">
    <w:name w:val="aa正文"/>
    <w:basedOn w:val="1"/>
    <w:uiPriority w:val="0"/>
    <w:pPr>
      <w:spacing w:line="360" w:lineRule="auto"/>
      <w:ind w:firstLine="200" w:firstLineChars="200"/>
    </w:pPr>
    <w:rPr>
      <w:sz w:val="24"/>
      <w:szCs w:val="24"/>
    </w:rPr>
  </w:style>
  <w:style w:type="paragraph" w:customStyle="1" w:styleId="97">
    <w:name w:val="L-表格内格式"/>
    <w:basedOn w:val="38"/>
    <w:qFormat/>
    <w:uiPriority w:val="0"/>
  </w:style>
  <w:style w:type="paragraph" w:customStyle="1" w:styleId="98">
    <w:name w:val="L-正文修改"/>
    <w:basedOn w:val="99"/>
    <w:qFormat/>
    <w:uiPriority w:val="0"/>
  </w:style>
  <w:style w:type="paragraph" w:customStyle="1" w:styleId="99">
    <w:name w:val="正文+首行"/>
    <w:basedOn w:val="1"/>
    <w:qFormat/>
    <w:uiPriority w:val="0"/>
    <w:pPr>
      <w:spacing w:line="360" w:lineRule="auto"/>
      <w:ind w:firstLine="200" w:firstLineChars="200"/>
    </w:pPr>
  </w:style>
  <w:style w:type="paragraph" w:customStyle="1" w:styleId="100">
    <w:name w:val="Table Paragraph"/>
    <w:basedOn w:val="1"/>
    <w:qFormat/>
    <w:uiPriority w:val="1"/>
    <w:pPr>
      <w:jc w:val="center"/>
    </w:pPr>
    <w:rPr>
      <w:rFonts w:ascii="宋体" w:hAnsi="宋体" w:eastAsia="宋体" w:cs="宋体"/>
    </w:rPr>
  </w:style>
  <w:style w:type="paragraph" w:customStyle="1" w:styleId="101">
    <w:name w:val="表"/>
    <w:qFormat/>
    <w:uiPriority w:val="0"/>
    <w:pPr>
      <w:widowControl w:val="0"/>
      <w:jc w:val="center"/>
    </w:pPr>
    <w:rPr>
      <w:rFonts w:ascii="Times New Roman" w:hAnsi="Times New Roman" w:eastAsia="宋体" w:cs="Times New Roman"/>
      <w:bCs/>
      <w:snapToGrid w:val="0"/>
      <w:kern w:val="2"/>
      <w:sz w:val="21"/>
      <w:lang w:val="en-US" w:eastAsia="zh-CN" w:bidi="ar-SA"/>
    </w:rPr>
  </w:style>
  <w:style w:type="character" w:customStyle="1" w:styleId="102">
    <w:name w:val="font01"/>
    <w:basedOn w:val="27"/>
    <w:uiPriority w:val="0"/>
    <w:rPr>
      <w:rFonts w:hint="default" w:ascii="Times New Roman" w:hAnsi="Times New Roman" w:cs="Times New Roman"/>
      <w:color w:val="000000"/>
      <w:sz w:val="21"/>
      <w:szCs w:val="21"/>
      <w:u w:val="none"/>
      <w:vertAlign w:val="subscript"/>
    </w:rPr>
  </w:style>
  <w:style w:type="paragraph" w:customStyle="1" w:styleId="103">
    <w:name w:val="表中文字"/>
    <w:qFormat/>
    <w:uiPriority w:val="0"/>
    <w:pPr>
      <w:spacing w:line="440" w:lineRule="exact"/>
      <w:jc w:val="center"/>
    </w:pPr>
    <w:rPr>
      <w:rFonts w:ascii="Calibri" w:hAnsi="Calibri" w:eastAsia="楷体_GB2312" w:cs="Times New Roman"/>
      <w:spacing w:val="8"/>
      <w:sz w:val="21"/>
      <w:szCs w:val="28"/>
      <w:lang w:val="en-US" w:eastAsia="zh-CN" w:bidi="ar-SA"/>
    </w:rPr>
  </w:style>
  <w:style w:type="character" w:customStyle="1" w:styleId="104">
    <w:name w:val="2兴业表格 Char"/>
    <w:link w:val="105"/>
    <w:qFormat/>
    <w:uiPriority w:val="0"/>
    <w:rPr>
      <w:szCs w:val="21"/>
    </w:rPr>
  </w:style>
  <w:style w:type="paragraph" w:customStyle="1" w:styleId="105">
    <w:name w:val="070表格"/>
    <w:basedOn w:val="1"/>
    <w:link w:val="104"/>
    <w:qFormat/>
    <w:uiPriority w:val="0"/>
    <w:pPr>
      <w:adjustRightInd w:val="0"/>
      <w:snapToGrid w:val="0"/>
      <w:spacing w:line="240" w:lineRule="atLeast"/>
      <w:jc w:val="center"/>
    </w:pPr>
    <w:rPr>
      <w:rFonts w:eastAsia="宋体"/>
      <w:kern w:val="0"/>
      <w:sz w:val="20"/>
      <w:szCs w:val="21"/>
    </w:rPr>
  </w:style>
  <w:style w:type="character" w:customStyle="1" w:styleId="106">
    <w:name w:val="环正文 Char"/>
    <w:link w:val="107"/>
    <w:qFormat/>
    <w:uiPriority w:val="0"/>
    <w:rPr>
      <w:rFonts w:eastAsia="仿宋_GB2312"/>
      <w:b/>
      <w:color w:val="000000"/>
      <w:kern w:val="24"/>
      <w:sz w:val="24"/>
      <w:szCs w:val="24"/>
    </w:rPr>
  </w:style>
  <w:style w:type="paragraph" w:customStyle="1" w:styleId="107">
    <w:name w:val="环正文"/>
    <w:basedOn w:val="1"/>
    <w:link w:val="106"/>
    <w:qFormat/>
    <w:uiPriority w:val="0"/>
    <w:pPr>
      <w:widowControl/>
      <w:tabs>
        <w:tab w:val="left" w:pos="5094"/>
      </w:tabs>
      <w:adjustRightInd w:val="0"/>
      <w:spacing w:line="360" w:lineRule="auto"/>
      <w:textAlignment w:val="baseline"/>
    </w:pPr>
    <w:rPr>
      <w:rFonts w:eastAsia="仿宋_GB2312"/>
      <w:b/>
      <w:color w:val="000000"/>
      <w:kern w:val="24"/>
      <w:sz w:val="24"/>
      <w:szCs w:val="24"/>
    </w:rPr>
  </w:style>
  <w:style w:type="paragraph" w:styleId="10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0.wmf"/><Relationship Id="rId25" Type="http://schemas.openxmlformats.org/officeDocument/2006/relationships/oleObject" Target="embeddings/oleObject9.bin"/><Relationship Id="rId24" Type="http://schemas.openxmlformats.org/officeDocument/2006/relationships/image" Target="media/image9.wmf"/><Relationship Id="rId23" Type="http://schemas.openxmlformats.org/officeDocument/2006/relationships/oleObject" Target="embeddings/oleObject8.bin"/><Relationship Id="rId22" Type="http://schemas.openxmlformats.org/officeDocument/2006/relationships/image" Target="media/image8.wmf"/><Relationship Id="rId21" Type="http://schemas.openxmlformats.org/officeDocument/2006/relationships/oleObject" Target="embeddings/oleObject7.bin"/><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6.wmf"/><Relationship Id="rId17" Type="http://schemas.openxmlformats.org/officeDocument/2006/relationships/oleObject" Target="embeddings/oleObject5.bin"/><Relationship Id="rId16" Type="http://schemas.openxmlformats.org/officeDocument/2006/relationships/image" Target="media/image5.wmf"/><Relationship Id="rId15" Type="http://schemas.openxmlformats.org/officeDocument/2006/relationships/oleObject" Target="embeddings/oleObject4.bin"/><Relationship Id="rId14" Type="http://schemas.openxmlformats.org/officeDocument/2006/relationships/image" Target="media/image4.wmf"/><Relationship Id="rId13" Type="http://schemas.openxmlformats.org/officeDocument/2006/relationships/oleObject" Target="embeddings/oleObject3.bin"/><Relationship Id="rId12" Type="http://schemas.openxmlformats.org/officeDocument/2006/relationships/image" Target="media/image3.w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61B754-E0D8-4527-9ED7-598730E13DD3}">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39</Pages>
  <Words>3672</Words>
  <Characters>20937</Characters>
  <Lines>174</Lines>
  <Paragraphs>49</Paragraphs>
  <TotalTime>1501</TotalTime>
  <ScaleCrop>false</ScaleCrop>
  <LinksUpToDate>false</LinksUpToDate>
  <CharactersWithSpaces>24560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2015-01-15T03:28:00Z</dcterms:created>
  <dc:creator>Administrator</dc:creator>
  <cp:lastModifiedBy>从容一笑</cp:lastModifiedBy>
  <cp:lastPrinted>2018-08-09T05:42:00Z</cp:lastPrinted>
  <dcterms:modified xsi:type="dcterms:W3CDTF">2020-07-10T01:57:03Z</dcterms:modified>
  <dc:title>建设项目环境影响报告表</dc:title>
  <cp:revision>7026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